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68"/>
        <w:spacing w:before="208" w:line="219" w:lineRule="auto"/>
        <w:outlineLvl w:val="0"/>
        <w:rPr>
          <w:rFonts w:ascii="SimSun" w:hAnsi="SimSun" w:eastAsia="SimSun" w:cs="SimSun"/>
          <w:sz w:val="64"/>
          <w:szCs w:val="64"/>
        </w:rPr>
      </w:pP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教</w:t>
      </w:r>
      <w:r>
        <w:rPr>
          <w:rFonts w:ascii="SimSun" w:hAnsi="SimSun" w:eastAsia="SimSun" w:cs="SimSun"/>
          <w:sz w:val="64"/>
          <w:szCs w:val="64"/>
          <w:color w:val="C03020"/>
          <w:spacing w:val="33"/>
        </w:rPr>
        <w:t xml:space="preserve">  </w:t>
      </w: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育</w:t>
      </w:r>
      <w:r>
        <w:rPr>
          <w:rFonts w:ascii="SimSun" w:hAnsi="SimSun" w:eastAsia="SimSun" w:cs="SimSun"/>
          <w:sz w:val="64"/>
          <w:szCs w:val="64"/>
          <w:color w:val="C03020"/>
          <w:spacing w:val="33"/>
        </w:rPr>
        <w:t xml:space="preserve">  </w:t>
      </w: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部</w:t>
      </w:r>
      <w:r>
        <w:rPr>
          <w:rFonts w:ascii="SimSun" w:hAnsi="SimSun" w:eastAsia="SimSun" w:cs="SimSun"/>
          <w:sz w:val="64"/>
          <w:szCs w:val="64"/>
          <w:color w:val="C03020"/>
          <w:spacing w:val="7"/>
        </w:rPr>
        <w:t xml:space="preserve">  </w:t>
      </w: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办</w:t>
      </w:r>
      <w:r>
        <w:rPr>
          <w:rFonts w:ascii="SimSun" w:hAnsi="SimSun" w:eastAsia="SimSun" w:cs="SimSun"/>
          <w:sz w:val="64"/>
          <w:szCs w:val="64"/>
          <w:color w:val="C03020"/>
          <w:spacing w:val="24"/>
        </w:rPr>
        <w:t xml:space="preserve">  </w:t>
      </w: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公</w:t>
      </w:r>
      <w:r>
        <w:rPr>
          <w:rFonts w:ascii="SimSun" w:hAnsi="SimSun" w:eastAsia="SimSun" w:cs="SimSun"/>
          <w:sz w:val="64"/>
          <w:szCs w:val="64"/>
          <w:color w:val="C03020"/>
          <w:spacing w:val="42"/>
        </w:rPr>
        <w:t xml:space="preserve">  </w:t>
      </w:r>
      <w:r>
        <w:rPr>
          <w:rFonts w:ascii="SimSun" w:hAnsi="SimSun" w:eastAsia="SimSun" w:cs="SimSun"/>
          <w:sz w:val="64"/>
          <w:szCs w:val="64"/>
          <w:b/>
          <w:bCs/>
          <w:color w:val="C03020"/>
          <w:spacing w:val="-50"/>
        </w:rPr>
        <w:t>厅</w:t>
      </w:r>
    </w:p>
    <w:p>
      <w:pPr>
        <w:spacing w:before="213" w:line="60" w:lineRule="exact"/>
        <w:rPr/>
      </w:pPr>
      <w:r>
        <w:rPr>
          <w:position w:val="-1"/>
        </w:rPr>
        <w:drawing>
          <wp:inline distT="0" distB="0" distL="0" distR="0">
            <wp:extent cx="5321287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128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1" w:lineRule="auto"/>
        <w:rPr/>
      </w:pPr>
      <w:r/>
    </w:p>
    <w:p>
      <w:pPr>
        <w:ind w:left="5269"/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教发厅函〔2024〕20号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2604" w:right="70" w:hanging="2559"/>
        <w:spacing w:before="127" w:line="297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3"/>
        </w:rPr>
        <w:t>教育部办公厅关于印发《教育系统重大事故</w:t>
      </w:r>
      <w:r>
        <w:rPr>
          <w:rFonts w:ascii="SimSun" w:hAnsi="SimSun" w:eastAsia="SimSun" w:cs="SimSun"/>
          <w:sz w:val="39"/>
          <w:szCs w:val="39"/>
          <w:b/>
          <w:bCs/>
          <w:spacing w:val="2"/>
        </w:rPr>
        <w:t>隐患</w:t>
      </w:r>
      <w:r>
        <w:rPr>
          <w:rFonts w:ascii="SimSun" w:hAnsi="SimSun" w:eastAsia="SimSun" w:cs="SimSun"/>
          <w:sz w:val="39"/>
          <w:szCs w:val="39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2"/>
        </w:rPr>
        <w:t>判定指南》的通知</w:t>
      </w:r>
    </w:p>
    <w:p>
      <w:pPr>
        <w:ind w:left="39" w:right="79"/>
        <w:spacing w:before="302" w:line="33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各省、自治区、直辖市教育厅(教委),新疆</w:t>
      </w:r>
      <w:r>
        <w:rPr>
          <w:rFonts w:ascii="FangSong" w:hAnsi="FangSong" w:eastAsia="FangSong" w:cs="FangSong"/>
          <w:sz w:val="30"/>
          <w:szCs w:val="30"/>
          <w:spacing w:val="13"/>
        </w:rPr>
        <w:t>生产建设兵团教育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局，部属各高等学校、部省合建各高等学校：</w:t>
      </w:r>
    </w:p>
    <w:p>
      <w:pPr>
        <w:ind w:left="39" w:right="13" w:firstLine="619"/>
        <w:spacing w:before="4" w:line="34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现将《教育系统重大事故隐患判定指南》印发给你们，请认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真贯彻落实。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515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3117811</wp:posOffset>
            </wp:positionH>
            <wp:positionV relativeFrom="paragraph">
              <wp:posOffset>-743897</wp:posOffset>
            </wp:positionV>
            <wp:extent cx="1466867" cy="143505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"/>
        </w:rPr>
        <w:t>教育部办公厅</w:t>
      </w:r>
    </w:p>
    <w:p>
      <w:pPr>
        <w:ind w:left="4879"/>
        <w:spacing w:before="2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2"/>
        </w:rPr>
        <w:t>2024年6月24日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firstLine="39"/>
        <w:spacing w:before="1" w:line="60" w:lineRule="exact"/>
        <w:rPr/>
      </w:pPr>
      <w:r>
        <w:rPr>
          <w:position w:val="-1"/>
        </w:rPr>
        <w:drawing>
          <wp:inline distT="0" distB="0" distL="0" distR="0">
            <wp:extent cx="5314939" cy="3806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4939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sectPr>
          <w:pgSz w:w="11900" w:h="16840"/>
          <w:pgMar w:top="1431" w:right="1785" w:bottom="0" w:left="1660" w:header="0" w:footer="0" w:gutter="0"/>
        </w:sectPr>
        <w:rPr/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310"/>
        <w:spacing w:before="13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2"/>
        </w:rPr>
        <w:t>教育系统重大事故隐患判定指南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" w:firstLine="590"/>
        <w:spacing w:before="94" w:line="3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9"/>
          <w:szCs w:val="29"/>
          <w:spacing w:val="13"/>
        </w:rPr>
        <w:t>第一条</w:t>
      </w:r>
      <w:r>
        <w:rPr>
          <w:rFonts w:ascii="SimHei" w:hAnsi="SimHei" w:eastAsia="SimHei" w:cs="SimHei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为科学判定、及时消除教育系统重大事</w:t>
      </w:r>
      <w:r>
        <w:rPr>
          <w:rFonts w:ascii="FangSong" w:hAnsi="FangSong" w:eastAsia="FangSong" w:cs="FangSong"/>
          <w:sz w:val="29"/>
          <w:szCs w:val="29"/>
          <w:spacing w:val="12"/>
        </w:rPr>
        <w:t>故隐患，有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效防范和遏制重特大事故发生，根据《中华人民共和国安全生产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法》《中华人民共和国教育法》《中华人民共和</w:t>
      </w:r>
      <w:r>
        <w:rPr>
          <w:rFonts w:ascii="FangSong" w:hAnsi="FangSong" w:eastAsia="FangSong" w:cs="FangSong"/>
          <w:sz w:val="29"/>
          <w:szCs w:val="29"/>
          <w:spacing w:val="6"/>
        </w:rPr>
        <w:t>国消防法》《建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筑防火通用规范》《校车安全管理条例》《危险化学品安全</w:t>
      </w:r>
      <w:r>
        <w:rPr>
          <w:rFonts w:ascii="FangSong" w:hAnsi="FangSong" w:eastAsia="FangSong" w:cs="FangSong"/>
          <w:sz w:val="29"/>
          <w:szCs w:val="29"/>
          <w:spacing w:val="5"/>
        </w:rPr>
        <w:t>管理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条例》《高等学校消防安全管理规定》《学校食品安全与营养健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</w:rPr>
        <w:t>康管理规定》《高等学校实验室消防安全管理规范》《中小学校、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幼儿园消防安全十项规定》等法律法规及标准规范，按照从严治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理、防微杜渐、注重实效原则，结合教育系统工作实际，制定本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3"/>
        </w:rPr>
        <w:t>指</w:t>
      </w:r>
      <w:r>
        <w:rPr>
          <w:rFonts w:ascii="FangSong" w:hAnsi="FangSong" w:eastAsia="FangSong" w:cs="FangSong"/>
          <w:sz w:val="24"/>
          <w:szCs w:val="24"/>
          <w:spacing w:val="-1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3"/>
        </w:rPr>
        <w:t>南</w:t>
      </w:r>
      <w:r>
        <w:rPr>
          <w:rFonts w:ascii="FangSong" w:hAnsi="FangSong" w:eastAsia="FangSong" w:cs="FangSong"/>
          <w:sz w:val="24"/>
          <w:szCs w:val="24"/>
          <w:spacing w:val="-3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3"/>
        </w:rPr>
        <w:t>。</w:t>
      </w:r>
    </w:p>
    <w:p>
      <w:pPr>
        <w:ind w:left="14" w:right="123" w:firstLine="590"/>
        <w:spacing w:before="239" w:line="30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9"/>
        </w:rPr>
        <w:t>第二条</w:t>
      </w:r>
      <w:r>
        <w:rPr>
          <w:rFonts w:ascii="SimHei" w:hAnsi="SimHei" w:eastAsia="SimHei" w:cs="SimHei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本指南主要适用于教育系统存在的危害程度较大，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可能造成群死群伤或重大财产损失，或引起严重社会影响的重大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隐患判定，包括校园消防、校舍安全、食品安全、实验实训、校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车校园交通、预防拥挤踩踏、特种设备使用及水电气热运行等重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要领域和关键环节。</w:t>
      </w:r>
    </w:p>
    <w:p>
      <w:pPr>
        <w:ind w:left="604"/>
        <w:spacing w:before="20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5"/>
        </w:rPr>
        <w:t>第三条</w:t>
      </w:r>
      <w:r>
        <w:rPr>
          <w:rFonts w:ascii="SimHei" w:hAnsi="SimHei" w:eastAsia="SimHei" w:cs="SimHei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消防管理重大事故隐患判定：</w:t>
      </w:r>
    </w:p>
    <w:p>
      <w:pPr>
        <w:ind w:left="14" w:right="97" w:firstLine="740"/>
        <w:spacing w:before="158" w:line="3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(一)直接判定(存在任意一条，则直接判定为重大事故隐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9"/>
        </w:rPr>
        <w:t>患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9"/>
        </w:rPr>
        <w:t>)</w:t>
      </w:r>
    </w:p>
    <w:p>
      <w:pPr>
        <w:ind w:left="14" w:right="97" w:firstLine="649"/>
        <w:spacing w:before="51" w:line="30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1.未建立健全消防安全工作责任体系，落实各级各岗位人员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消防安全责任的。</w:t>
      </w:r>
    </w:p>
    <w:p>
      <w:pPr>
        <w:spacing w:line="308" w:lineRule="auto"/>
        <w:sectPr>
          <w:footerReference w:type="default" r:id="rId4"/>
          <w:pgSz w:w="11900" w:h="16840"/>
          <w:pgMar w:top="1431" w:right="1684" w:bottom="2559" w:left="1785" w:header="0" w:footer="218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" w:right="144" w:firstLine="580"/>
        <w:spacing w:before="94" w:line="2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2.</w:t>
      </w:r>
      <w:r>
        <w:rPr>
          <w:rFonts w:ascii="FangSong" w:hAnsi="FangSong" w:eastAsia="FangSong" w:cs="FangSong"/>
          <w:sz w:val="29"/>
          <w:szCs w:val="29"/>
          <w:spacing w:val="8"/>
        </w:rPr>
        <w:t>学生宿舍、幼儿园儿童用房设置在地下室或半地下室，幼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儿园儿童用房设置在四层及以上的。</w:t>
      </w:r>
    </w:p>
    <w:p>
      <w:pPr>
        <w:ind w:left="4" w:right="114" w:firstLine="590"/>
        <w:spacing w:before="174" w:line="2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3.</w:t>
      </w:r>
      <w:r>
        <w:rPr>
          <w:rFonts w:ascii="FangSong" w:hAnsi="FangSong" w:eastAsia="FangSong" w:cs="FangSong"/>
          <w:sz w:val="29"/>
          <w:szCs w:val="29"/>
          <w:spacing w:val="9"/>
        </w:rPr>
        <w:t>在教学楼、图书馆、食堂和集体宿舍等人员密集场</w:t>
      </w:r>
      <w:r>
        <w:rPr>
          <w:rFonts w:ascii="FangSong" w:hAnsi="FangSong" w:eastAsia="FangSong" w:cs="FangSong"/>
          <w:sz w:val="29"/>
          <w:szCs w:val="29"/>
          <w:spacing w:val="8"/>
        </w:rPr>
        <w:t>所违规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使用、储存易燃易爆危险品的，或采用彩钢夹芯板搭建，且彩钢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夹芯板芯材的燃烧性能等级低于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spacing w:val="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级</w:t>
      </w:r>
      <w:r>
        <w:rPr>
          <w:rFonts w:ascii="FangSong" w:hAnsi="FangSong" w:eastAsia="FangSong" w:cs="FangSong"/>
          <w:sz w:val="29"/>
          <w:szCs w:val="29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GB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8624)     </w:t>
      </w:r>
      <w:r>
        <w:rPr>
          <w:rFonts w:ascii="FangSong" w:hAnsi="FangSong" w:eastAsia="FangSong" w:cs="FangSong"/>
          <w:sz w:val="29"/>
          <w:szCs w:val="29"/>
          <w:spacing w:val="6"/>
        </w:rPr>
        <w:t>的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。</w:t>
      </w:r>
    </w:p>
    <w:p>
      <w:pPr>
        <w:ind w:left="54" w:right="98" w:firstLine="570"/>
        <w:spacing w:before="228" w:line="30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4.未按国家工程建设消防技术标准设置火灾自动报警系</w:t>
      </w:r>
      <w:r>
        <w:rPr>
          <w:rFonts w:ascii="FangSong" w:hAnsi="FangSong" w:eastAsia="FangSong" w:cs="FangSong"/>
          <w:sz w:val="29"/>
          <w:szCs w:val="29"/>
          <w:spacing w:val="7"/>
        </w:rPr>
        <w:t>统、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自动灭火系统、消火栓及防烟排烟系统等，或已设置但不符合标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准或不能正常使用的；学生宿舍或午休室未安装火灾自动报警系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统或者具有联网功能的独立式火灾探测报警器的。</w:t>
      </w:r>
    </w:p>
    <w:p>
      <w:pPr>
        <w:ind w:left="64" w:right="95" w:firstLine="599"/>
        <w:spacing w:before="161" w:line="2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5.</w:t>
      </w:r>
      <w:r>
        <w:rPr>
          <w:rFonts w:ascii="FangSong" w:hAnsi="FangSong" w:eastAsia="FangSong" w:cs="FangSong"/>
          <w:sz w:val="29"/>
          <w:szCs w:val="29"/>
          <w:spacing w:val="7"/>
        </w:rPr>
        <w:t>校内施工实施电焊、气焊、切割、使用喷灯等明火作业未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办理动火审批手续，未落实现场安全监管的。</w:t>
      </w:r>
    </w:p>
    <w:p>
      <w:pPr>
        <w:spacing w:before="147" w:line="219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6.</w:t>
      </w:r>
      <w:r>
        <w:rPr>
          <w:rFonts w:ascii="FangSong" w:hAnsi="FangSong" w:eastAsia="FangSong" w:cs="FangSong"/>
          <w:sz w:val="29"/>
          <w:szCs w:val="29"/>
          <w:spacing w:val="10"/>
        </w:rPr>
        <w:t>电动自行车(含电池)入楼或私拉乱接电线、飞线充电的。</w:t>
      </w:r>
    </w:p>
    <w:p>
      <w:pPr>
        <w:ind w:left="64" w:right="53" w:firstLine="599"/>
        <w:spacing w:before="183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7.</w:t>
      </w:r>
      <w:r>
        <w:rPr>
          <w:rFonts w:ascii="FangSong" w:hAnsi="FangSong" w:eastAsia="FangSong" w:cs="FangSong"/>
          <w:sz w:val="29"/>
          <w:szCs w:val="29"/>
          <w:spacing w:val="9"/>
        </w:rPr>
        <w:t>校园内的教室、宿舍、图书馆、食堂等各类房屋建</w:t>
      </w:r>
      <w:r>
        <w:rPr>
          <w:rFonts w:ascii="FangSong" w:hAnsi="FangSong" w:eastAsia="FangSong" w:cs="FangSong"/>
          <w:sz w:val="29"/>
          <w:szCs w:val="29"/>
          <w:spacing w:val="8"/>
        </w:rPr>
        <w:t>筑，在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施工前未依法取得消防设计审查合格意见的，或在</w:t>
      </w:r>
      <w:r>
        <w:rPr>
          <w:rFonts w:ascii="FangSong" w:hAnsi="FangSong" w:eastAsia="FangSong" w:cs="FangSong"/>
          <w:sz w:val="29"/>
          <w:szCs w:val="29"/>
          <w:spacing w:val="7"/>
        </w:rPr>
        <w:t>投入使用前未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取得消防验收(备案)合格意见的。校园内的宾馆、饭店、商场</w:t>
      </w:r>
    </w:p>
    <w:p>
      <w:pPr>
        <w:ind w:left="64" w:right="55" w:firstLine="150"/>
        <w:spacing w:before="182" w:line="33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(含超市)等公众聚集场所，未经消防救援机构许可擅自投入使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用、营业的。</w:t>
      </w:r>
    </w:p>
    <w:p>
      <w:pPr>
        <w:ind w:left="64" w:right="37" w:firstLine="649"/>
        <w:spacing w:before="1" w:line="33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8.</w:t>
      </w:r>
      <w:r>
        <w:rPr>
          <w:rFonts w:ascii="FangSong" w:hAnsi="FangSong" w:eastAsia="FangSong" w:cs="FangSong"/>
          <w:sz w:val="29"/>
          <w:szCs w:val="29"/>
          <w:spacing w:val="7"/>
        </w:rPr>
        <w:t>校园内人员密集场所未按规定设置独立的安全出口、安全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出口数量不足或其总净宽度小于国家工程建设消防技术标准规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定值的80%。</w:t>
      </w:r>
    </w:p>
    <w:p>
      <w:pPr>
        <w:ind w:left="155" w:right="14" w:firstLine="559"/>
        <w:spacing w:line="34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9.</w:t>
      </w:r>
      <w:r>
        <w:rPr>
          <w:rFonts w:ascii="FangSong" w:hAnsi="FangSong" w:eastAsia="FangSong" w:cs="FangSong"/>
          <w:sz w:val="29"/>
          <w:szCs w:val="29"/>
          <w:spacing w:val="19"/>
        </w:rPr>
        <w:t>校园内人员密集场所的门窗设置影响逃</w:t>
      </w:r>
      <w:r>
        <w:rPr>
          <w:rFonts w:ascii="FangSong" w:hAnsi="FangSong" w:eastAsia="FangSong" w:cs="FangSong"/>
          <w:sz w:val="29"/>
          <w:szCs w:val="29"/>
          <w:spacing w:val="18"/>
        </w:rPr>
        <w:t>生和灭火救援的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障碍物的(包括但不限于外窗被铁栅栏、铁丝网等封堵或被广告</w:t>
      </w:r>
    </w:p>
    <w:p>
      <w:pPr>
        <w:spacing w:line="343" w:lineRule="auto"/>
        <w:sectPr>
          <w:footerReference w:type="default" r:id="rId5"/>
          <w:pgSz w:w="11900" w:h="16840"/>
          <w:pgMar w:top="1431" w:right="1615" w:bottom="2479" w:left="1785" w:header="0" w:footer="21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牌等遮挡等情形)。</w:t>
      </w:r>
    </w:p>
    <w:p>
      <w:pPr>
        <w:ind w:left="74" w:right="48" w:firstLine="590"/>
        <w:spacing w:before="155" w:line="31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10.</w:t>
      </w:r>
      <w:r>
        <w:rPr>
          <w:rFonts w:ascii="FangSong" w:hAnsi="FangSong" w:eastAsia="FangSong" w:cs="FangSong"/>
          <w:sz w:val="30"/>
          <w:szCs w:val="30"/>
          <w:spacing w:val="1"/>
        </w:rPr>
        <w:t>实验室内违规存放、使用易燃易爆危险品；存放、使用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易燃易爆危险品的实验室设置在建筑的地下室或半地下室。</w:t>
      </w:r>
    </w:p>
    <w:p>
      <w:pPr>
        <w:ind w:left="74" w:firstLine="760"/>
        <w:spacing w:before="1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(二)综合判定(存在任意3条及以上，则综合判定为重大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事故隐患)</w:t>
      </w:r>
    </w:p>
    <w:p>
      <w:pPr>
        <w:ind w:left="74" w:right="64" w:firstLine="590"/>
        <w:spacing w:before="6" w:line="27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1.</w:t>
      </w:r>
      <w:r>
        <w:rPr>
          <w:rFonts w:ascii="FangSong" w:hAnsi="FangSong" w:eastAsia="FangSong" w:cs="FangSong"/>
          <w:sz w:val="30"/>
          <w:szCs w:val="30"/>
          <w:spacing w:val="7"/>
        </w:rPr>
        <w:t>未按国家工程建设消防技术标准的规定或</w:t>
      </w:r>
      <w:r>
        <w:rPr>
          <w:rFonts w:ascii="FangSong" w:hAnsi="FangSong" w:eastAsia="FangSong" w:cs="FangSong"/>
          <w:sz w:val="30"/>
          <w:szCs w:val="30"/>
          <w:spacing w:val="6"/>
        </w:rPr>
        <w:t>城市消防规划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的要求设置消防车道或消防车道被堵塞、占用的。</w:t>
      </w:r>
    </w:p>
    <w:p>
      <w:pPr>
        <w:ind w:left="74" w:right="25" w:firstLine="590"/>
        <w:spacing w:before="177" w:line="26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2.建筑之间的既有防火间距被占用或小于国家工程建设消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防技术标准的规定值的80%。</w:t>
      </w:r>
    </w:p>
    <w:p>
      <w:pPr>
        <w:ind w:left="74" w:right="32" w:firstLine="590"/>
        <w:spacing w:before="188" w:line="28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3.未按国家工程建设消防技术标准的规定设置除火灾自动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报警系统、自动灭火系统、消火栓系统、防烟排烟系统外的其他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固定消防设施，并定期维护保养检测，不能正常使用的。</w:t>
      </w:r>
    </w:p>
    <w:p>
      <w:pPr>
        <w:ind w:left="74" w:right="38" w:firstLine="590"/>
        <w:spacing w:before="154" w:line="2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4.</w:t>
      </w:r>
      <w:r>
        <w:rPr>
          <w:rFonts w:ascii="FangSong" w:hAnsi="FangSong" w:eastAsia="FangSong" w:cs="FangSong"/>
          <w:sz w:val="30"/>
          <w:szCs w:val="30"/>
          <w:spacing w:val="-4"/>
        </w:rPr>
        <w:t>消防控制室值班人员未取得消防设施操作员证书的；或按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要求应设而未设专业消防管理人员的。</w:t>
      </w:r>
    </w:p>
    <w:p>
      <w:pPr>
        <w:ind w:left="74" w:right="43" w:firstLine="590"/>
        <w:spacing w:before="168" w:line="27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5.</w:t>
      </w:r>
      <w:r>
        <w:rPr>
          <w:rFonts w:ascii="FangSong" w:hAnsi="FangSong" w:eastAsia="FangSong" w:cs="FangSong"/>
          <w:sz w:val="30"/>
          <w:szCs w:val="30"/>
          <w:spacing w:val="7"/>
        </w:rPr>
        <w:t>安全出口数量或宽度不符合国家工程建设消防技术标准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的规定，或既有安全出口被封堵。</w:t>
      </w:r>
    </w:p>
    <w:p>
      <w:pPr>
        <w:ind w:left="74" w:right="32" w:firstLine="590"/>
        <w:spacing w:before="176" w:line="2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6.</w:t>
      </w:r>
      <w:r>
        <w:rPr>
          <w:rFonts w:ascii="FangSong" w:hAnsi="FangSong" w:eastAsia="FangSong" w:cs="FangSong"/>
          <w:sz w:val="30"/>
          <w:szCs w:val="30"/>
          <w:spacing w:val="-4"/>
        </w:rPr>
        <w:t>按国家工程建设消防技术标准的规定，建筑物应设置独立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的安全出口或疏散楼梯而未设置。</w:t>
      </w:r>
    </w:p>
    <w:p>
      <w:pPr>
        <w:ind w:left="74" w:right="39" w:firstLine="590"/>
        <w:spacing w:before="164" w:line="27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7.</w:t>
      </w:r>
      <w:r>
        <w:rPr>
          <w:rFonts w:ascii="FangSong" w:hAnsi="FangSong" w:eastAsia="FangSong" w:cs="FangSong"/>
          <w:sz w:val="30"/>
          <w:szCs w:val="30"/>
          <w:spacing w:val="8"/>
        </w:rPr>
        <w:t>原有防火分区被改变并导致实际防火分</w:t>
      </w:r>
      <w:r>
        <w:rPr>
          <w:rFonts w:ascii="FangSong" w:hAnsi="FangSong" w:eastAsia="FangSong" w:cs="FangSong"/>
          <w:sz w:val="30"/>
          <w:szCs w:val="30"/>
          <w:spacing w:val="7"/>
        </w:rPr>
        <w:t>区的建筑面积大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于国家工程建设消防技术标准规定值的50%。</w:t>
      </w:r>
    </w:p>
    <w:p>
      <w:pPr>
        <w:ind w:left="74" w:right="42" w:firstLine="590"/>
        <w:spacing w:before="169" w:line="2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8.</w:t>
      </w:r>
      <w:r>
        <w:rPr>
          <w:rFonts w:ascii="FangSong" w:hAnsi="FangSong" w:eastAsia="FangSong" w:cs="FangSong"/>
          <w:sz w:val="30"/>
          <w:szCs w:val="30"/>
          <w:spacing w:val="-4"/>
        </w:rPr>
        <w:t>防火门、防火卷帘等防火分隔设施损坏的数量大于该防火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分区相应防火分隔设施总数的50%。</w:t>
      </w:r>
    </w:p>
    <w:p>
      <w:pPr>
        <w:spacing w:line="268" w:lineRule="auto"/>
        <w:sectPr>
          <w:footerReference w:type="default" r:id="rId6"/>
          <w:pgSz w:w="11900" w:h="16840"/>
          <w:pgMar w:top="1431" w:right="1707" w:bottom="2757" w:left="1785" w:header="0" w:footer="23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" w:right="127" w:firstLine="590"/>
        <w:spacing w:before="94" w:line="29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9.未按国家工程建设消防技术标准的规定设置疏散</w:t>
      </w:r>
      <w:r>
        <w:rPr>
          <w:rFonts w:ascii="FangSong" w:hAnsi="FangSong" w:eastAsia="FangSong" w:cs="FangSong"/>
          <w:sz w:val="29"/>
          <w:szCs w:val="29"/>
          <w:spacing w:val="19"/>
        </w:rPr>
        <w:t>指示标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志、应急照明，或所设置设施的损坏率大于标准规定要求设置数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量的50%。</w:t>
      </w:r>
    </w:p>
    <w:p>
      <w:pPr>
        <w:ind w:left="24" w:right="124" w:firstLine="590"/>
        <w:spacing w:before="185" w:line="2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10.高层建筑封闭楼梯间或防烟楼梯间的门的损坏</w:t>
      </w:r>
      <w:r>
        <w:rPr>
          <w:rFonts w:ascii="FangSong" w:hAnsi="FangSong" w:eastAsia="FangSong" w:cs="FangSong"/>
          <w:sz w:val="29"/>
          <w:szCs w:val="29"/>
          <w:spacing w:val="13"/>
        </w:rPr>
        <w:t>率大于其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设置总数的20%。</w:t>
      </w:r>
    </w:p>
    <w:p>
      <w:pPr>
        <w:ind w:left="24" w:right="159" w:firstLine="590"/>
        <w:spacing w:before="173" w:line="2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11.</w:t>
      </w:r>
      <w:r>
        <w:rPr>
          <w:rFonts w:ascii="FangSong" w:hAnsi="FangSong" w:eastAsia="FangSong" w:cs="FangSong"/>
          <w:sz w:val="29"/>
          <w:szCs w:val="29"/>
          <w:spacing w:val="12"/>
        </w:rPr>
        <w:t>高层建筑的消防车道、救援场地设置不符合要求或被占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用，影响火灾扑救。</w:t>
      </w:r>
    </w:p>
    <w:p>
      <w:pPr>
        <w:ind w:left="24" w:right="123" w:firstLine="594"/>
        <w:spacing w:before="186" w:line="33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第四条</w:t>
      </w:r>
      <w:r>
        <w:rPr>
          <w:rFonts w:ascii="SimHei" w:hAnsi="SimHei" w:eastAsia="SimHei" w:cs="SimHei"/>
          <w:sz w:val="29"/>
          <w:szCs w:val="29"/>
          <w:spacing w:val="-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校舍使用存在以下行为之一的，应直接判定为重大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事故隐患：</w:t>
      </w:r>
    </w:p>
    <w:p>
      <w:pPr>
        <w:ind w:left="785"/>
        <w:spacing w:before="5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(一)与周边环境存在下列之一情况的：</w:t>
      </w:r>
    </w:p>
    <w:p>
      <w:pPr>
        <w:ind w:left="24" w:right="147" w:firstLine="590"/>
        <w:spacing w:before="165" w:line="2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1.</w:t>
      </w:r>
      <w:r>
        <w:rPr>
          <w:rFonts w:ascii="FangSong" w:hAnsi="FangSong" w:eastAsia="FangSong" w:cs="FangSong"/>
          <w:sz w:val="29"/>
          <w:szCs w:val="29"/>
          <w:spacing w:val="7"/>
        </w:rPr>
        <w:t>建设在地震断裂带、低洼地、滑坡地段、泥石流地区、洪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水沟口或泄洪区等自然灾害频发地段。</w:t>
      </w:r>
    </w:p>
    <w:p>
      <w:pPr>
        <w:ind w:left="24" w:right="118" w:firstLine="590"/>
        <w:spacing w:before="169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2.毗邻集贸市场、娱乐场所、殡仪馆、医院</w:t>
      </w:r>
      <w:r>
        <w:rPr>
          <w:rFonts w:ascii="FangSong" w:hAnsi="FangSong" w:eastAsia="FangSong" w:cs="FangSong"/>
          <w:sz w:val="29"/>
          <w:szCs w:val="29"/>
          <w:spacing w:val="8"/>
        </w:rPr>
        <w:t>太平间、传染病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院或医院传染病房等不利于学生身心健康和危及学生安全。</w:t>
      </w:r>
    </w:p>
    <w:p>
      <w:pPr>
        <w:ind w:left="24" w:right="124" w:firstLine="590"/>
        <w:spacing w:before="171" w:line="27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3.</w:t>
      </w:r>
      <w:r>
        <w:rPr>
          <w:rFonts w:ascii="FangSong" w:hAnsi="FangSong" w:eastAsia="FangSong" w:cs="FangSong"/>
          <w:sz w:val="29"/>
          <w:szCs w:val="29"/>
          <w:spacing w:val="8"/>
        </w:rPr>
        <w:t>与地铁、轻轨、高速公路、城市干道、机场及飞机起降航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线安全防护距离不符合有关规定。</w:t>
      </w:r>
    </w:p>
    <w:p>
      <w:pPr>
        <w:ind w:left="24" w:right="125" w:firstLine="590"/>
        <w:spacing w:before="195" w:line="2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4.周边设有输气输油管、各类污染源、高压电设施、生产经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营储存有毒有害危险品。</w:t>
      </w:r>
    </w:p>
    <w:p>
      <w:pPr>
        <w:ind w:left="24" w:right="121" w:firstLine="760"/>
        <w:spacing w:before="186" w:line="2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(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二</w:t>
      </w:r>
      <w:r>
        <w:rPr>
          <w:rFonts w:ascii="FangSong" w:hAnsi="FangSong" w:eastAsia="FangSong" w:cs="FangSong"/>
          <w:sz w:val="29"/>
          <w:szCs w:val="29"/>
          <w:spacing w:val="-1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)地基基础经鉴定出现不均匀沉降，或部分承重构件存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在损伤、裂缝或变形的。</w:t>
      </w:r>
    </w:p>
    <w:p>
      <w:pPr>
        <w:ind w:left="785"/>
        <w:spacing w:before="176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(三)存在未经竣工验收或验收不合格即交付使用的。</w:t>
      </w:r>
    </w:p>
    <w:p>
      <w:pPr>
        <w:spacing w:before="197" w:line="221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(四)擅自改变学校用房使用功能及用途，违规搭</w:t>
      </w:r>
      <w:r>
        <w:rPr>
          <w:rFonts w:ascii="FangSong" w:hAnsi="FangSong" w:eastAsia="FangSong" w:cs="FangSong"/>
          <w:sz w:val="29"/>
          <w:szCs w:val="29"/>
          <w:spacing w:val="6"/>
        </w:rPr>
        <w:t>建构筑物、</w:t>
      </w:r>
    </w:p>
    <w:p>
      <w:pPr>
        <w:spacing w:line="221" w:lineRule="auto"/>
        <w:sectPr>
          <w:footerReference w:type="default" r:id="rId7"/>
          <w:pgSz w:w="11900" w:h="16840"/>
          <w:pgMar w:top="1431" w:right="1604" w:bottom="2389" w:left="1785" w:header="0" w:footer="201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spacing w:before="94" w:line="222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分隔房间或临时增加宿舍房间、超原设计标准增设床(铺)位的。</w:t>
      </w:r>
    </w:p>
    <w:p>
      <w:pPr>
        <w:ind w:left="795"/>
        <w:spacing w:before="16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3"/>
        </w:rPr>
        <w:t>(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五</w:t>
      </w:r>
      <w:r>
        <w:rPr>
          <w:rFonts w:ascii="FangSong" w:hAnsi="FangSong" w:eastAsia="FangSong" w:cs="FangSong"/>
          <w:sz w:val="29"/>
          <w:szCs w:val="29"/>
          <w:spacing w:val="-4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)</w:t>
      </w:r>
      <w:r>
        <w:rPr>
          <w:rFonts w:ascii="FangSong" w:hAnsi="FangSong" w:eastAsia="FangSong" w:cs="FangSong"/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使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用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C</w:t>
      </w:r>
      <w:r>
        <w:rPr>
          <w:rFonts w:ascii="Times New Roman" w:hAnsi="Times New Roman" w:eastAsia="Times New Roman" w:cs="Times New Roman"/>
          <w:sz w:val="29"/>
          <w:szCs w:val="29"/>
          <w:spacing w:val="-4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3"/>
        </w:rPr>
        <w:t>、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D</w:t>
      </w:r>
      <w:r>
        <w:rPr>
          <w:rFonts w:ascii="Times New Roman" w:hAnsi="Times New Roman" w:eastAsia="Times New Roman" w:cs="Times New Roman"/>
          <w:sz w:val="29"/>
          <w:szCs w:val="29"/>
          <w:spacing w:val="5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级危房的。</w:t>
      </w:r>
    </w:p>
    <w:p>
      <w:pPr>
        <w:ind w:left="44" w:right="122" w:firstLine="750"/>
        <w:spacing w:before="156" w:line="2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(六)在校舍屋顶超设计荷载限值堆放物品或增加设备设施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的，或在楼内放置超过楼面荷载重量物品的。</w:t>
      </w:r>
    </w:p>
    <w:p>
      <w:pPr>
        <w:ind w:left="44" w:firstLine="750"/>
        <w:spacing w:before="166" w:line="2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(七)建筑阳台、窗台、楼梯及公共通道等临边栏杆不牢固，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以及防护高度未达到相关标准要求的。</w:t>
      </w:r>
    </w:p>
    <w:p>
      <w:pPr>
        <w:ind w:left="44" w:right="87" w:firstLine="750"/>
        <w:spacing w:before="151" w:line="29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(八)体育馆、图书馆、活动中心、食堂、会议室、礼堂等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大跨度钢结构建筑未按要求进行维护保养和安全评估，或未按照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规范要求进行屋顶防水维修作业的。</w:t>
      </w:r>
    </w:p>
    <w:p>
      <w:pPr>
        <w:ind w:left="44" w:right="74" w:firstLine="634"/>
        <w:spacing w:before="163" w:line="33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第五条</w:t>
      </w:r>
      <w:r>
        <w:rPr>
          <w:rFonts w:ascii="SimHei" w:hAnsi="SimHei" w:eastAsia="SimHei" w:cs="SimHei"/>
          <w:sz w:val="29"/>
          <w:szCs w:val="29"/>
          <w:spacing w:val="-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食品安全管理中存在以下行为之一的，</w:t>
      </w:r>
      <w:r>
        <w:rPr>
          <w:rFonts w:ascii="FangSong" w:hAnsi="FangSong" w:eastAsia="FangSong" w:cs="FangSong"/>
          <w:sz w:val="29"/>
          <w:szCs w:val="29"/>
          <w:spacing w:val="12"/>
        </w:rPr>
        <w:t>应直接判定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为重大事故隐患：</w:t>
      </w:r>
    </w:p>
    <w:p>
      <w:pPr>
        <w:ind w:left="44" w:firstLine="750"/>
        <w:spacing w:before="2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(一)学校食堂、承包经营学校食堂的企业、校外供餐单位、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食材供应企业未取得食品经营许可证的。</w:t>
      </w:r>
    </w:p>
    <w:p>
      <w:pPr>
        <w:ind w:left="44" w:right="95" w:firstLine="750"/>
        <w:spacing w:before="137" w:line="2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(二)从事接触直接入口食品工作的人员未取得有效健康证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明的。</w:t>
      </w:r>
    </w:p>
    <w:p>
      <w:pPr>
        <w:ind w:left="795"/>
        <w:spacing w:before="133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(三)食品及原料进货来源不明，未落实可追溯机制的。</w:t>
      </w:r>
    </w:p>
    <w:p>
      <w:pPr>
        <w:ind w:left="44" w:right="127" w:firstLine="750"/>
        <w:spacing w:before="183" w:line="2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(四)采购不符合食品安全要求的食品、食品原料和食品添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加剂的。</w:t>
      </w:r>
    </w:p>
    <w:p>
      <w:pPr>
        <w:spacing w:before="165" w:line="220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(五)食品加工操作不规范、不卫生，可能造成食品污染的。</w:t>
      </w:r>
    </w:p>
    <w:p>
      <w:pPr>
        <w:ind w:left="44" w:right="120" w:firstLine="750"/>
        <w:spacing w:before="163" w:line="2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(六)贮存环境不符合要求，导致食品、食品原料变质或受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到污染的。</w:t>
      </w:r>
    </w:p>
    <w:p>
      <w:pPr>
        <w:ind w:left="795"/>
        <w:spacing w:before="157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(七)未按规定贮存、使用食品添加剂的。</w:t>
      </w:r>
    </w:p>
    <w:p>
      <w:pPr>
        <w:spacing w:line="219" w:lineRule="auto"/>
        <w:sectPr>
          <w:footerReference w:type="default" r:id="rId8"/>
          <w:pgSz w:w="11900" w:h="16840"/>
          <w:pgMar w:top="1431" w:right="1655" w:bottom="2513" w:left="1785" w:header="0" w:footer="2176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855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(八)餐用具不合格、未消毒或使用不合格洗涤剂的。</w:t>
      </w:r>
    </w:p>
    <w:p>
      <w:pPr>
        <w:ind w:left="855"/>
        <w:spacing w:before="15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(九)非食堂从业人员未经允许进入食品处理区的。</w:t>
      </w:r>
    </w:p>
    <w:p>
      <w:pPr>
        <w:ind w:left="855"/>
        <w:spacing w:before="16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(十)承包经营食堂转包、分包的。</w:t>
      </w:r>
    </w:p>
    <w:p>
      <w:pPr>
        <w:ind w:left="144" w:right="31" w:firstLine="594"/>
        <w:spacing w:before="156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第六条</w:t>
      </w:r>
      <w:r>
        <w:rPr>
          <w:rFonts w:ascii="SimHei" w:hAnsi="SimHei" w:eastAsia="SimHei" w:cs="SimHei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实验实训管理中存在以下行为之一的，应直接判定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为重大事故隐患：</w:t>
      </w:r>
    </w:p>
    <w:p>
      <w:pPr>
        <w:ind w:left="144" w:right="48" w:firstLine="710"/>
        <w:spacing w:before="2" w:line="27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(一)未建立健全并落实学校、二级单位和实验室(实训场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所)安全管理三级责任体系的。</w:t>
      </w:r>
    </w:p>
    <w:p>
      <w:pPr>
        <w:ind w:left="144" w:right="45" w:firstLine="710"/>
        <w:spacing w:before="143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(二)实验人员在未得到安全准入的条件下进入实验室(实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训场所)开展实验活动的。</w:t>
      </w:r>
    </w:p>
    <w:p>
      <w:pPr>
        <w:ind w:left="144" w:right="27" w:firstLine="710"/>
        <w:spacing w:before="150" w:line="3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(三)未建立实验室(实训场所)重要危险源(包括各类剧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毒、易制爆、易制毒、爆炸品等有毒有害化学品，各类易燃、易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爆、有毒、窒息、高压等危险气体，动物及病原微生物，辐射源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及射线装置，同位素及核材料，危险性机械加工装置，强电强磁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与激光设备，特种设备等)风险管控方案(包括但不限于实验室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分级分类；高风险等级实验室的备案与监督；制定应急预案并定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期演练；按等级实施安全检查、安全培训、安全评估、条件保障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等管理)的。</w:t>
      </w:r>
    </w:p>
    <w:p>
      <w:pPr>
        <w:ind w:left="144" w:right="15" w:firstLine="710"/>
        <w:spacing w:before="183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(四)涉及重要危险源的实验时，未进行安全风险</w:t>
      </w:r>
      <w:r>
        <w:rPr>
          <w:rFonts w:ascii="FangSong" w:hAnsi="FangSong" w:eastAsia="FangSong" w:cs="FangSong"/>
          <w:sz w:val="30"/>
          <w:szCs w:val="30"/>
          <w:spacing w:val="4"/>
        </w:rPr>
        <w:t>分析及制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定相应防护措施的。</w:t>
      </w:r>
    </w:p>
    <w:p>
      <w:pPr>
        <w:ind w:left="144" w:right="23" w:firstLine="710"/>
        <w:spacing w:before="136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(五)未经主管部门许可擅自建设、使用、转让涉及重要危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险源实验室(实训场所)或设备的。</w:t>
      </w:r>
    </w:p>
    <w:p>
      <w:pPr>
        <w:spacing w:before="162"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(六)违规购买、存储、使用、运输、转让或处置重要危险</w:t>
      </w:r>
    </w:p>
    <w:p>
      <w:pPr>
        <w:spacing w:line="219" w:lineRule="auto"/>
        <w:sectPr>
          <w:footerReference w:type="default" r:id="rId9"/>
          <w:pgSz w:w="11900" w:h="16840"/>
          <w:pgMar w:top="1431" w:right="1617" w:bottom="2387" w:left="1785" w:header="0" w:footer="199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spacing w:before="78" w:line="22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7"/>
        </w:rPr>
        <w:t>源</w:t>
      </w:r>
      <w:r>
        <w:rPr>
          <w:rFonts w:ascii="FangSong" w:hAnsi="FangSong" w:eastAsia="FangSong" w:cs="FangSong"/>
          <w:sz w:val="24"/>
          <w:szCs w:val="24"/>
          <w:spacing w:val="-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的</w:t>
      </w:r>
      <w:r>
        <w:rPr>
          <w:rFonts w:ascii="FangSong" w:hAnsi="FangSong" w:eastAsia="FangSong" w:cs="FangSong"/>
          <w:sz w:val="24"/>
          <w:szCs w:val="24"/>
          <w:spacing w:val="-4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。</w:t>
      </w:r>
    </w:p>
    <w:p>
      <w:pPr>
        <w:ind w:right="66" w:firstLine="729"/>
        <w:spacing w:before="176" w:line="2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(七)在实验室(实训场所)内使用超出其安全许可范围的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实验材料、设备或进行超出其安全等级的实验活动的。</w:t>
      </w:r>
    </w:p>
    <w:p>
      <w:pPr>
        <w:ind w:right="67" w:firstLine="729"/>
        <w:spacing w:before="176" w:line="30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(八)未按法律法规以及行业标准、安全技术规</w:t>
      </w:r>
      <w:r>
        <w:rPr>
          <w:rFonts w:ascii="FangSong" w:hAnsi="FangSong" w:eastAsia="FangSong" w:cs="FangSong"/>
          <w:sz w:val="29"/>
          <w:szCs w:val="29"/>
          <w:spacing w:val="10"/>
        </w:rPr>
        <w:t>范等规定要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求落实重大设施设备(包括存储剧毒、易制爆化学品，危废贮存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站，备案生物实验室，涉源场所，特种设备等设施设备)定期环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评、检测、监测、维保的。</w:t>
      </w:r>
    </w:p>
    <w:p>
      <w:pPr>
        <w:ind w:right="68" w:firstLine="729"/>
        <w:spacing w:before="172" w:line="29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(九)实验室(实训场所)内超量存放危险化学品；或大量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使用危险气体且无气体浓度报警措施或通风设施不合格；或超规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使用危险设备尤其是大型设备的。</w:t>
      </w:r>
    </w:p>
    <w:p>
      <w:pPr>
        <w:ind w:right="20" w:firstLine="729"/>
        <w:spacing w:before="178" w:line="27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(十)实验室未按照行业标准落实应急与急救设</w:t>
      </w:r>
      <w:r>
        <w:rPr>
          <w:rFonts w:ascii="FangSong" w:hAnsi="FangSong" w:eastAsia="FangSong" w:cs="FangSong"/>
          <w:sz w:val="29"/>
          <w:szCs w:val="29"/>
          <w:spacing w:val="12"/>
        </w:rPr>
        <w:t>施设备的，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未配置安全防护用品的。</w:t>
      </w:r>
    </w:p>
    <w:p>
      <w:pPr>
        <w:ind w:right="23" w:firstLine="614"/>
        <w:spacing w:before="177" w:line="33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第七条</w:t>
      </w:r>
      <w:r>
        <w:rPr>
          <w:rFonts w:ascii="SimHei" w:hAnsi="SimHei" w:eastAsia="SimHei" w:cs="SimHei"/>
          <w:sz w:val="29"/>
          <w:szCs w:val="29"/>
          <w:spacing w:val="-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中小学校及幼儿园校车、校园交通安全管理中存在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以下行为之一的，应直接判定为重大事故隐患：</w:t>
      </w:r>
    </w:p>
    <w:p>
      <w:pPr>
        <w:ind w:right="62" w:firstLine="729"/>
        <w:spacing w:before="1" w:line="2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(一)使用未取得校车标牌的车辆提供校车服务，或者使用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未取得校车驾驶资格的人员驾驶校车的。</w:t>
      </w:r>
    </w:p>
    <w:p>
      <w:pPr>
        <w:ind w:right="43" w:firstLine="729"/>
        <w:spacing w:before="166" w:line="2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(二)配备校车的学校、校车服务提供者未指派照管人</w:t>
      </w:r>
      <w:r>
        <w:rPr>
          <w:rFonts w:ascii="FangSong" w:hAnsi="FangSong" w:eastAsia="FangSong" w:cs="FangSong"/>
          <w:sz w:val="29"/>
          <w:szCs w:val="29"/>
          <w:spacing w:val="11"/>
        </w:rPr>
        <w:t>员随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校车全程照管乘车学生的。</w:t>
      </w:r>
    </w:p>
    <w:p>
      <w:pPr>
        <w:ind w:right="43" w:firstLine="729"/>
        <w:spacing w:before="167" w:line="29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(三)未建立完善学校交通安全管理制度，或由校车服</w:t>
      </w:r>
      <w:r>
        <w:rPr>
          <w:rFonts w:ascii="FangSong" w:hAnsi="FangSong" w:eastAsia="FangSong" w:cs="FangSong"/>
          <w:sz w:val="29"/>
          <w:szCs w:val="29"/>
          <w:spacing w:val="11"/>
        </w:rPr>
        <w:t>务提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供者提供校车服务，学校未与校车服务提供者签订校车安全管理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责任书，明确各自安全管理责任的。</w:t>
      </w:r>
    </w:p>
    <w:p>
      <w:pPr>
        <w:ind w:right="42"/>
        <w:spacing w:before="165" w:line="219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(四)未按照校内功能分区及校内车辆通行需求，分类实施</w:t>
      </w:r>
    </w:p>
    <w:p>
      <w:pPr>
        <w:spacing w:line="219" w:lineRule="auto"/>
        <w:sectPr>
          <w:footerReference w:type="default" r:id="rId10"/>
          <w:pgSz w:w="11900" w:h="16840"/>
          <w:pgMar w:top="1431" w:right="1785" w:bottom="2679" w:left="1780" w:header="0" w:footer="23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4" w:right="194"/>
        <w:spacing w:before="94" w:line="32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车辆禁行、限行管理的；未实施校内人车分离管理，且学生步行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出入口与机动车出入口未在空间或时间上分开设置的。</w:t>
      </w:r>
    </w:p>
    <w:p>
      <w:pPr>
        <w:ind w:left="144" w:right="161" w:firstLine="740"/>
        <w:spacing w:before="2" w:line="33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(五)未设置校门口车辆缓冲区及防冲撞设施(阻车桩、拒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马桩等)的。</w:t>
      </w:r>
    </w:p>
    <w:p>
      <w:pPr>
        <w:ind w:left="144" w:right="130" w:firstLine="600"/>
        <w:spacing w:before="24" w:line="2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4"/>
        </w:rPr>
        <w:t>第八条</w:t>
      </w:r>
      <w:r>
        <w:rPr>
          <w:rFonts w:ascii="SimHei" w:hAnsi="SimHei" w:eastAsia="SimHei" w:cs="SimHei"/>
          <w:sz w:val="29"/>
          <w:szCs w:val="29"/>
          <w:spacing w:val="-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国家行业部门对危险化学品、燃气、特种设备、拥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挤踩踏、房屋市政工程等方面的重大事故隐患判定另有规定的，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从其规定。</w:t>
      </w:r>
    </w:p>
    <w:p>
      <w:pPr>
        <w:ind w:left="144" w:right="160" w:firstLine="600"/>
        <w:spacing w:before="195" w:line="31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3"/>
        </w:rPr>
        <w:t>第九条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自查或检查中应成立不少于3人工作组(由相关领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域技术和管理专家组成),结合现场证据讨论后，对事故隐患作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出结论性判定意见。对于情况复杂的，各地教育行政部门可以商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请有关部门或者组织有关专家，依据相关法律法规和强制性标准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等，研究论证后综合判定。</w:t>
      </w:r>
    </w:p>
    <w:p>
      <w:pPr>
        <w:ind w:left="144" w:right="149" w:firstLine="600"/>
        <w:spacing w:before="177" w:line="2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3"/>
        </w:rPr>
        <w:t>第十条</w:t>
      </w:r>
      <w:r>
        <w:rPr>
          <w:rFonts w:ascii="SimHei" w:hAnsi="SimHei" w:eastAsia="SimHei" w:cs="SimHei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各地教育行政部门可以根据本指南，结合实际丰富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完善本行政区域内学校重大事故隐患判定指南(含部委所属高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校</w:t>
      </w:r>
      <w:r>
        <w:rPr>
          <w:rFonts w:ascii="FangSong" w:hAnsi="FangSong" w:eastAsia="FangSong" w:cs="FangSong"/>
          <w:sz w:val="29"/>
          <w:szCs w:val="29"/>
          <w:spacing w:val="-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)</w:t>
      </w:r>
      <w:r>
        <w:rPr>
          <w:rFonts w:ascii="FangSong" w:hAnsi="FangSong" w:eastAsia="FangSong" w:cs="FangSong"/>
          <w:sz w:val="29"/>
          <w:szCs w:val="29"/>
          <w:spacing w:val="-4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。</w:t>
      </w:r>
    </w:p>
    <w:p>
      <w:pPr>
        <w:ind w:left="144" w:firstLine="600"/>
        <w:spacing w:before="222" w:line="2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第十一条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本指南自印发之日起实施。2023年9月4日印发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的《教育系统重大事故隐患排查指引(试行)》(教发厅函</w:t>
      </w:r>
      <w:r>
        <w:rPr>
          <w:rFonts w:ascii="FangSong" w:hAnsi="FangSong" w:eastAsia="FangSong" w:cs="FangSong"/>
          <w:sz w:val="29"/>
          <w:szCs w:val="29"/>
          <w:spacing w:val="6"/>
        </w:rPr>
        <w:t>〔2023〕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22号)同时废止。</w:t>
      </w:r>
    </w:p>
    <w:sectPr>
      <w:footerReference w:type="default" r:id="rId11"/>
      <w:pgSz w:w="11900" w:h="16840"/>
      <w:pgMar w:top="1431" w:right="1485" w:bottom="2409" w:left="1785" w:header="0" w:footer="20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2025-11-11T16:12:23Z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2025-11-11T16:12:23</vt:filetime>
  </property>
  <property fmtid="{D5CDD505-2E9C-101B-9397-08002B2CF9AE}" pid="4" name="UsrData">
    <vt:lpwstr>6912efe2f90427001f680602wl</vt:lpwstr>
  </property>
</Properties>
</file>