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rPr>
      </w:pPr>
      <w:r>
        <w:rPr>
          <w:rFonts w:hint="eastAsia" w:ascii="仿宋" w:hAnsi="仿宋" w:eastAsia="仿宋" w:cs="仿宋"/>
          <w:b/>
          <w:bCs/>
          <w:color w:val="333333"/>
          <w:kern w:val="0"/>
          <w:sz w:val="28"/>
          <w:szCs w:val="28"/>
        </w:rPr>
        <w:t>附件：</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36"/>
          <w:szCs w:val="36"/>
        </w:rPr>
      </w:pPr>
      <w:bookmarkStart w:id="0" w:name="_GoBack"/>
      <w:r>
        <w:rPr>
          <w:rFonts w:hint="eastAsia" w:ascii="仿宋" w:hAnsi="仿宋" w:eastAsia="仿宋" w:cs="仿宋"/>
          <w:b/>
          <w:color w:val="333333"/>
          <w:kern w:val="0"/>
          <w:sz w:val="36"/>
          <w:szCs w:val="36"/>
        </w:rPr>
        <w:t>单一来源采购征求意见公示表</w:t>
      </w:r>
    </w:p>
    <w:bookmarkEnd w:id="0"/>
    <w:tbl>
      <w:tblPr>
        <w:tblStyle w:val="7"/>
        <w:tblpPr w:leftFromText="180" w:rightFromText="180" w:vertAnchor="text" w:horzAnchor="page" w:tblpX="1465" w:tblpY="275"/>
        <w:tblOverlap w:val="never"/>
        <w:tblW w:w="508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04"/>
        <w:gridCol w:w="7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trPr>
        <w:tc>
          <w:tcPr>
            <w:tcW w:w="76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采购项目申请单位</w:t>
            </w:r>
          </w:p>
        </w:tc>
        <w:tc>
          <w:tcPr>
            <w:tcW w:w="4237"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九州职业技术学院医疗与健康学院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6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采购项目名称</w:t>
            </w:r>
          </w:p>
        </w:tc>
        <w:tc>
          <w:tcPr>
            <w:tcW w:w="4237"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医学教育资源考试训练系统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762"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采购预算</w:t>
            </w:r>
          </w:p>
        </w:tc>
        <w:tc>
          <w:tcPr>
            <w:tcW w:w="4237"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产品使用费：20万元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2" w:hRule="atLeast"/>
        </w:trPr>
        <w:tc>
          <w:tcPr>
            <w:tcW w:w="762"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174" w:leftChars="83" w:firstLine="420" w:firstLineChars="200"/>
              <w:jc w:val="center"/>
              <w:textAlignment w:val="auto"/>
              <w:rPr>
                <w:rFonts w:hint="eastAsia" w:ascii="仿宋" w:hAnsi="仿宋" w:eastAsia="仿宋" w:cs="仿宋"/>
              </w:rPr>
            </w:pPr>
          </w:p>
        </w:tc>
        <w:tc>
          <w:tcPr>
            <w:tcW w:w="4237" w:type="pct"/>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维护费：5万元/年</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优惠价：2022年6月-2025年12月共计10万元</w:t>
            </w:r>
          </w:p>
          <w:p>
            <w:pPr>
              <w:keepNext w:val="0"/>
              <w:keepLines w:val="0"/>
              <w:pageBreakBefore w:val="0"/>
              <w:widowControl/>
              <w:kinsoku/>
              <w:wordWrap/>
              <w:overflowPunct/>
              <w:topLinePunct w:val="0"/>
              <w:autoSpaceDE/>
              <w:autoSpaceDN/>
              <w:bidi w:val="0"/>
              <w:adjustRightInd/>
              <w:snapToGrid/>
              <w:spacing w:line="400" w:lineRule="exact"/>
              <w:ind w:left="174" w:leftChars="83"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（维护费于2023年1月一次性付清）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6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32"/>
                <w:szCs w:val="32"/>
              </w:rPr>
            </w:pPr>
            <w:r>
              <w:rPr>
                <w:rFonts w:hint="eastAsia" w:ascii="仿宋" w:hAnsi="仿宋" w:eastAsia="仿宋" w:cs="仿宋"/>
                <w:b/>
                <w:color w:val="333333"/>
                <w:kern w:val="0"/>
                <w:sz w:val="28"/>
                <w:szCs w:val="28"/>
              </w:rPr>
              <w:t>项目内容</w:t>
            </w:r>
          </w:p>
        </w:tc>
        <w:tc>
          <w:tcPr>
            <w:tcW w:w="4237" w:type="pct"/>
            <w:vAlign w:val="center"/>
          </w:tcPr>
          <w:p>
            <w:pPr>
              <w:pStyle w:val="12"/>
              <w:keepNext w:val="0"/>
              <w:keepLines w:val="0"/>
              <w:pageBreakBefore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项目内容</w:t>
            </w:r>
          </w:p>
          <w:p>
            <w:pPr>
              <w:pStyle w:val="12"/>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医学教育资源考试训练系统及三年（2022-2025年）资源更新服务</w:t>
            </w:r>
          </w:p>
          <w:p>
            <w:pPr>
              <w:pStyle w:val="12"/>
              <w:keepNext w:val="0"/>
              <w:keepLines w:val="0"/>
              <w:pageBreakBefore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资源考试训练系统规模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医学教育资源考试训练系统支持使用电脑端或移动端组织在线考试，通过用户权限管理、试题管理、考试管理、考务管理、成绩分析等系统功能满足考试和日常训练的教考需求，系统基于云存储、实时备份、光纤专线、防作弊等多重技术提高系统性能，以保障考试系统的稳定性并确保考试数据的安全存储。</w:t>
            </w:r>
          </w:p>
          <w:p>
            <w:pPr>
              <w:pStyle w:val="2"/>
              <w:keepNext w:val="0"/>
              <w:keepLines w:val="0"/>
              <w:pageBreakBefore w:val="0"/>
              <w:kinsoku/>
              <w:wordWrap/>
              <w:overflowPunct/>
              <w:topLinePunct w:val="0"/>
              <w:autoSpaceDE/>
              <w:autoSpaceDN/>
              <w:bidi w:val="0"/>
              <w:adjustRightInd/>
              <w:snapToGrid/>
              <w:spacing w:before="0" w:beforeAutospacing="0" w:line="4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考试系统通过用户权限管理，可分多种用户角色，通过角色进行用户管理和资源权限区别分配，方便安全地进行分类管理。对教师和学生用户进行添加、修改和查询，可用Excel表格批量导入用户。系统支持多级机构设置，可添加、删除、修改和查询机构。</w:t>
            </w:r>
          </w:p>
          <w:p>
            <w:pPr>
              <w:pStyle w:val="2"/>
              <w:keepNext w:val="0"/>
              <w:keepLines w:val="0"/>
              <w:pageBreakBefore w:val="0"/>
              <w:kinsoku/>
              <w:wordWrap/>
              <w:overflowPunct/>
              <w:topLinePunct w:val="0"/>
              <w:autoSpaceDE/>
              <w:autoSpaceDN/>
              <w:bidi w:val="0"/>
              <w:adjustRightInd/>
              <w:snapToGrid/>
              <w:spacing w:before="0" w:beforeAutospacing="0" w:line="400" w:lineRule="exact"/>
              <w:ind w:firstLine="560" w:firstLineChars="200"/>
              <w:textAlignment w:val="auto"/>
              <w:rPr>
                <w:rFonts w:hint="eastAsia" w:ascii="仿宋" w:hAnsi="仿宋" w:eastAsia="仿宋" w:cs="仿宋"/>
                <w:kern w:val="2"/>
                <w:sz w:val="28"/>
                <w:szCs w:val="28"/>
              </w:rPr>
            </w:pPr>
            <w:r>
              <w:rPr>
                <w:rFonts w:hint="eastAsia" w:ascii="仿宋" w:hAnsi="仿宋" w:eastAsia="仿宋" w:cs="仿宋"/>
                <w:kern w:val="2"/>
                <w:sz w:val="28"/>
                <w:szCs w:val="28"/>
              </w:rPr>
              <w:t>教师可在任何地点登录考试系统进行组卷和发布考试，不受IP范围的限制，通过手动组卷、智能组卷等多种组卷方式，按学科章节知识点、题型、难易度进行组卷，也可跨学科组卷，支持对试卷进行检索、删除、修改、组卷条件复用以及加密操作，使用流程简单灵活。可自建题库，逐题添加、修改、删除试题，并用Excel表格批量导入试题。发布考试包含考试时间、考试时长、答题终端以及是否允许回看试题、是否允许查看考试成绩答案，以及查看时间的设置。通过实时监控考试状况，了解考生答题状态，包含考试人数、交卷人数、缺考人数、答题时长等，对于考试中意外情况可通过延时或修改考试状态来解决。</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系统中客观题（如选择题）考试结束后自动显示成绩，主观题（如简答题）在考试后由教师联机阅卷评分批注，支持隐藏考生信息，考试数据由系统整体进行试卷分析，分析以图表和饼图、柱形图、折线图等可视化形式表现，满足教务管理、教学等考试数据分析需求，考试分析报告支持下载。试卷统计分析包含试卷实测难度、区分度、信度等分析，帮助教师了解各章节知识点考试掌握程度，以推进教学评估并促进考试的规范化。</w:t>
            </w:r>
          </w:p>
          <w:p>
            <w:pPr>
              <w:pStyle w:val="12"/>
              <w:keepNext w:val="0"/>
              <w:keepLines w:val="0"/>
              <w:pageBreakBefore w:val="0"/>
              <w:numPr>
                <w:ilvl w:val="0"/>
                <w:numId w:val="0"/>
              </w:numPr>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预期效果</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（一）加强教学管理和宏观评估的重要前提是具备</w:t>
            </w:r>
            <w:r>
              <w:rPr>
                <w:rFonts w:hint="eastAsia" w:ascii="仿宋" w:hAnsi="仿宋" w:eastAsia="仿宋" w:cs="仿宋"/>
                <w:sz w:val="28"/>
                <w:szCs w:val="28"/>
                <w:lang w:eastAsia="zh-CN"/>
              </w:rPr>
              <w:t>规范</w:t>
            </w:r>
            <w:r>
              <w:rPr>
                <w:rFonts w:hint="eastAsia" w:ascii="仿宋" w:hAnsi="仿宋" w:eastAsia="仿宋" w:cs="仿宋"/>
                <w:sz w:val="28"/>
                <w:szCs w:val="28"/>
              </w:rPr>
              <w:t>化</w:t>
            </w:r>
            <w:r>
              <w:rPr>
                <w:rFonts w:hint="eastAsia" w:ascii="仿宋" w:hAnsi="仿宋" w:eastAsia="仿宋" w:cs="仿宋"/>
                <w:sz w:val="28"/>
                <w:szCs w:val="28"/>
                <w:lang w:eastAsia="zh-CN"/>
              </w:rPr>
              <w:t>的</w:t>
            </w:r>
            <w:r>
              <w:rPr>
                <w:rFonts w:hint="eastAsia" w:ascii="仿宋" w:hAnsi="仿宋" w:eastAsia="仿宋" w:cs="仿宋"/>
                <w:sz w:val="28"/>
                <w:szCs w:val="28"/>
              </w:rPr>
              <w:t>考试系统，医学教育资源考试训练系统</w:t>
            </w:r>
            <w:r>
              <w:rPr>
                <w:rFonts w:hint="eastAsia" w:ascii="仿宋" w:hAnsi="仿宋" w:eastAsia="仿宋" w:cs="仿宋"/>
                <w:sz w:val="28"/>
                <w:szCs w:val="28"/>
                <w:lang w:eastAsia="zh-CN"/>
              </w:rPr>
              <w:t>可以有效</w:t>
            </w:r>
            <w:r>
              <w:rPr>
                <w:rFonts w:hint="eastAsia" w:ascii="仿宋" w:hAnsi="仿宋" w:eastAsia="仿宋" w:cs="仿宋"/>
                <w:sz w:val="28"/>
                <w:szCs w:val="28"/>
              </w:rPr>
              <w:t>提升考务工作效率， 推动实施教考分离，提升教学实效，推进全面开展教学评估，为医学人才的培养和评价提供有力的支持和保障。</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（二）提供教学评价性服务</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1.支持分别按教材目录及护士执业资格考试大纲目录组建试卷</w:t>
            </w:r>
            <w:r>
              <w:rPr>
                <w:rFonts w:hint="eastAsia" w:ascii="仿宋" w:hAnsi="仿宋" w:eastAsia="仿宋" w:cs="仿宋"/>
                <w:sz w:val="28"/>
                <w:szCs w:val="28"/>
                <w:lang w:eastAsia="zh-CN"/>
              </w:rPr>
              <w:t>，</w:t>
            </w:r>
            <w:r>
              <w:rPr>
                <w:rFonts w:hint="eastAsia" w:ascii="仿宋" w:hAnsi="仿宋" w:eastAsia="仿宋" w:cs="仿宋"/>
                <w:sz w:val="28"/>
                <w:szCs w:val="28"/>
              </w:rPr>
              <w:t>可以提供终结性教学评价服务。如期末考试、综合性考试、护士执业资格分阶段模拟考试等。</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资源</w:t>
            </w:r>
            <w:r>
              <w:rPr>
                <w:rFonts w:hint="eastAsia" w:ascii="仿宋" w:hAnsi="仿宋" w:eastAsia="仿宋" w:cs="仿宋"/>
                <w:sz w:val="28"/>
                <w:szCs w:val="28"/>
              </w:rPr>
              <w:t>丰富，涵盖知识点全面</w:t>
            </w:r>
            <w:r>
              <w:rPr>
                <w:rFonts w:hint="eastAsia" w:ascii="仿宋" w:hAnsi="仿宋" w:eastAsia="仿宋" w:cs="仿宋"/>
                <w:sz w:val="28"/>
                <w:szCs w:val="28"/>
                <w:lang w:eastAsia="zh-CN"/>
              </w:rPr>
              <w:t>，</w:t>
            </w:r>
            <w:r>
              <w:rPr>
                <w:rFonts w:hint="eastAsia" w:ascii="仿宋" w:hAnsi="仿宋" w:eastAsia="仿宋" w:cs="仿宋"/>
                <w:sz w:val="28"/>
                <w:szCs w:val="28"/>
              </w:rPr>
              <w:t>根据教学实际需求对试题</w:t>
            </w:r>
            <w:r>
              <w:rPr>
                <w:rFonts w:hint="eastAsia" w:ascii="仿宋" w:hAnsi="仿宋" w:eastAsia="仿宋" w:cs="仿宋"/>
                <w:sz w:val="28"/>
                <w:szCs w:val="28"/>
                <w:lang w:eastAsia="zh-CN"/>
              </w:rPr>
              <w:t>知识点和难度等进行</w:t>
            </w:r>
            <w:r>
              <w:rPr>
                <w:rFonts w:hint="eastAsia" w:ascii="仿宋" w:hAnsi="仿宋" w:eastAsia="仿宋" w:cs="仿宋"/>
                <w:sz w:val="28"/>
                <w:szCs w:val="28"/>
              </w:rPr>
              <w:t>标引</w:t>
            </w:r>
            <w:r>
              <w:rPr>
                <w:rFonts w:hint="eastAsia" w:ascii="仿宋" w:hAnsi="仿宋" w:eastAsia="仿宋" w:cs="仿宋"/>
                <w:sz w:val="28"/>
                <w:szCs w:val="28"/>
                <w:lang w:eastAsia="zh-CN"/>
              </w:rPr>
              <w:t>，</w:t>
            </w:r>
            <w:r>
              <w:rPr>
                <w:rFonts w:hint="eastAsia" w:ascii="仿宋" w:hAnsi="仿宋" w:eastAsia="仿宋" w:cs="仿宋"/>
                <w:sz w:val="28"/>
                <w:szCs w:val="28"/>
              </w:rPr>
              <w:t>由此为教师提供日常教学中的形成性评价服务。如课堂测试、单元测试、复习指导等。</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（三）有效提高护考通过率</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资源</w:t>
            </w:r>
            <w:r>
              <w:rPr>
                <w:rFonts w:hint="eastAsia" w:ascii="仿宋" w:hAnsi="仿宋" w:eastAsia="仿宋" w:cs="仿宋"/>
                <w:sz w:val="28"/>
                <w:szCs w:val="28"/>
              </w:rPr>
              <w:t>编写</w:t>
            </w:r>
            <w:r>
              <w:rPr>
                <w:rFonts w:hint="eastAsia" w:ascii="仿宋" w:hAnsi="仿宋" w:eastAsia="仿宋" w:cs="仿宋"/>
                <w:sz w:val="28"/>
                <w:szCs w:val="28"/>
                <w:lang w:eastAsia="zh-CN"/>
              </w:rPr>
              <w:t>进行</w:t>
            </w:r>
            <w:r>
              <w:rPr>
                <w:rFonts w:hint="eastAsia" w:ascii="仿宋" w:hAnsi="仿宋" w:eastAsia="仿宋" w:cs="仿宋"/>
                <w:sz w:val="28"/>
                <w:szCs w:val="28"/>
              </w:rPr>
              <w:t>系统化集中培训，针对编制的基本原则、命题技术以及教育测量学指标的规范应用进行了详细讲解，保障</w:t>
            </w:r>
            <w:r>
              <w:rPr>
                <w:rFonts w:hint="eastAsia" w:ascii="仿宋" w:hAnsi="仿宋" w:eastAsia="仿宋" w:cs="仿宋"/>
                <w:sz w:val="28"/>
                <w:szCs w:val="28"/>
                <w:lang w:eastAsia="zh-CN"/>
              </w:rPr>
              <w:t>资源</w:t>
            </w:r>
            <w:r>
              <w:rPr>
                <w:rFonts w:hint="eastAsia" w:ascii="仿宋" w:hAnsi="仿宋" w:eastAsia="仿宋" w:cs="仿宋"/>
                <w:sz w:val="28"/>
                <w:szCs w:val="28"/>
              </w:rPr>
              <w:t>高质量。</w:t>
            </w:r>
          </w:p>
          <w:p>
            <w:pPr>
              <w:pStyle w:val="12"/>
              <w:keepNext w:val="0"/>
              <w:keepLines w:val="0"/>
              <w:pageBreakBefore w:val="0"/>
              <w:numPr>
                <w:ilvl w:val="0"/>
                <w:numId w:val="0"/>
              </w:numPr>
              <w:kinsoku/>
              <w:wordWrap/>
              <w:overflowPunct/>
              <w:topLinePunct w:val="0"/>
              <w:autoSpaceDE/>
              <w:autoSpaceDN/>
              <w:bidi w:val="0"/>
              <w:adjustRightInd/>
              <w:snapToGrid/>
              <w:spacing w:line="400" w:lineRule="exact"/>
              <w:ind w:left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（四）</w:t>
            </w:r>
            <w:r>
              <w:rPr>
                <w:rFonts w:hint="eastAsia" w:ascii="仿宋" w:hAnsi="仿宋" w:eastAsia="仿宋" w:cs="仿宋"/>
                <w:sz w:val="28"/>
                <w:szCs w:val="28"/>
              </w:rPr>
              <w:t>考试系统可以帮助老师做好数据分析和存储</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考试结果分析快速、准确，可以有效解决纸质考试难以实现的试卷质量分析、考题质量分析、学生个人成绩分析的难题，提高考试科学化水平。</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sz w:val="28"/>
                <w:szCs w:val="28"/>
              </w:rPr>
              <w:t>（五）平台支持院校</w:t>
            </w:r>
            <w:r>
              <w:rPr>
                <w:rFonts w:hint="eastAsia" w:ascii="仿宋" w:hAnsi="仿宋" w:eastAsia="仿宋" w:cs="仿宋"/>
                <w:sz w:val="28"/>
                <w:szCs w:val="28"/>
                <w:lang w:eastAsia="zh-CN"/>
              </w:rPr>
              <w:t>自建</w:t>
            </w:r>
            <w:r>
              <w:rPr>
                <w:rFonts w:hint="eastAsia" w:ascii="仿宋" w:hAnsi="仿宋" w:eastAsia="仿宋" w:cs="仿宋"/>
                <w:sz w:val="28"/>
                <w:szCs w:val="28"/>
              </w:rPr>
              <w:t>题库的建设，院校自有考试试题资源可以导入到平台，优质资源可以得到充分利用。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6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拟定供应商全称</w:t>
            </w:r>
          </w:p>
        </w:tc>
        <w:tc>
          <w:tcPr>
            <w:tcW w:w="4237"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陕西国纯科技发展有限公司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6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单一来源采购理由</w:t>
            </w:r>
          </w:p>
        </w:tc>
        <w:tc>
          <w:tcPr>
            <w:tcW w:w="4237" w:type="pct"/>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我院于2021年开始试用此系统，医学教育资源考试训练系统与目前我院使用的护理专业核心教材匹配度最高，并能有效的辅助护士资格证考试培训课程。本系统通过实测能够提供所需的教学评价服务，其资源质量可靠并具有独家性，功能技术多样并具有独特性，陕西国纯科技发展有限公司是医学教育资源考试训练系统唯一经销服务单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综上所述，医学教育资源考试训练系统只能来自“陕西国纯科技发展有限公司”，建议采用单一来源的方式采购。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762" w:type="pc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 w:hAnsi="仿宋" w:eastAsia="仿宋" w:cs="仿宋"/>
                <w:b/>
                <w:color w:val="333333"/>
                <w:kern w:val="0"/>
                <w:sz w:val="32"/>
                <w:szCs w:val="32"/>
              </w:rPr>
            </w:pPr>
            <w:r>
              <w:rPr>
                <w:rFonts w:hint="eastAsia" w:ascii="仿宋" w:hAnsi="仿宋" w:eastAsia="仿宋" w:cs="仿宋"/>
                <w:b/>
                <w:color w:val="333333"/>
                <w:kern w:val="0"/>
                <w:sz w:val="32"/>
                <w:szCs w:val="32"/>
              </w:rPr>
              <w:t>备 注</w:t>
            </w:r>
          </w:p>
        </w:tc>
        <w:tc>
          <w:tcPr>
            <w:tcW w:w="4237" w:type="pct"/>
            <w:vAlign w:val="center"/>
          </w:tcPr>
          <w:p>
            <w:pPr>
              <w:keepNext w:val="0"/>
              <w:keepLines w:val="0"/>
              <w:pageBreakBefore w:val="0"/>
              <w:widowControl/>
              <w:kinsoku/>
              <w:wordWrap/>
              <w:overflowPunct/>
              <w:topLinePunct w:val="0"/>
              <w:autoSpaceDE/>
              <w:autoSpaceDN/>
              <w:bidi w:val="0"/>
              <w:adjustRightInd/>
              <w:snapToGrid/>
              <w:spacing w:line="240" w:lineRule="auto"/>
              <w:ind w:left="174" w:leftChars="83" w:firstLine="652" w:firstLineChars="203"/>
              <w:textAlignment w:val="auto"/>
              <w:rPr>
                <w:rFonts w:hint="eastAsia" w:ascii="仿宋" w:hAnsi="仿宋" w:eastAsia="仿宋" w:cs="仿宋"/>
                <w:b/>
                <w:color w:val="333333"/>
                <w:kern w:val="0"/>
                <w:sz w:val="32"/>
                <w:szCs w:val="32"/>
              </w:rPr>
            </w:pPr>
          </w:p>
        </w:tc>
      </w:tr>
    </w:tbl>
    <w:p>
      <w:pPr>
        <w:widowControl/>
        <w:jc w:val="left"/>
        <w:rPr>
          <w:rFonts w:hint="eastAsia" w:ascii="仿宋" w:hAnsi="仿宋" w:eastAsia="仿宋" w:cs="仿宋"/>
          <w:szCs w:val="21"/>
        </w:rPr>
      </w:pPr>
    </w:p>
    <w:sectPr>
      <w:pgSz w:w="11906" w:h="16838"/>
      <w:pgMar w:top="153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3ZjQzOTNjM2U0YjI1MGNhMDZhMmMxYWJkZDQ3NTkifQ=="/>
  </w:docVars>
  <w:rsids>
    <w:rsidRoot w:val="00000000"/>
    <w:rsid w:val="116961E6"/>
    <w:rsid w:val="134E236D"/>
    <w:rsid w:val="7C5F1E5D"/>
    <w:rsid w:val="7D6D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line="273" w:lineRule="auto"/>
      <w:ind w:firstLine="420" w:firstLineChars="200"/>
      <w:jc w:val="left"/>
    </w:pPr>
    <w:rPr>
      <w:rFonts w:cs="Calibri"/>
      <w:kern w:val="0"/>
      <w:sz w:val="22"/>
    </w:rPr>
  </w:style>
  <w:style w:type="paragraph" w:styleId="3">
    <w:name w:val="Body Text Indent"/>
    <w:basedOn w:val="1"/>
    <w:qFormat/>
    <w:uiPriority w:val="0"/>
    <w:pPr>
      <w:ind w:firstLine="6720" w:firstLineChars="1400"/>
    </w:pPr>
    <w:rPr>
      <w:sz w:val="4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页眉 字符"/>
    <w:link w:val="6"/>
    <w:qFormat/>
    <w:uiPriority w:val="99"/>
    <w:rPr>
      <w:kern w:val="2"/>
      <w:sz w:val="18"/>
      <w:szCs w:val="18"/>
    </w:rPr>
  </w:style>
  <w:style w:type="character" w:customStyle="1" w:styleId="11">
    <w:name w:val="页脚 字符"/>
    <w:link w:val="5"/>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CUMT</Company>
  <Pages>3</Pages>
  <Words>1856</Words>
  <Characters>1921</Characters>
  <Paragraphs>53</Paragraphs>
  <TotalTime>1</TotalTime>
  <ScaleCrop>false</ScaleCrop>
  <LinksUpToDate>false</LinksUpToDate>
  <CharactersWithSpaces>1923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2022-06-07T09:04:00Z</dcterms:created>
  <dc:creator>Tan lijuan</dc:creator>
  <cp:lastModifiedBy>Administrator</cp:lastModifiedBy>
  <cp:lastPrinted>2021-12-10T02:41:00Z</cp:lastPrinted>
  <dcterms:modified xsi:type="dcterms:W3CDTF">2022-06-08T08:09:46Z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A721CAC9375F4B339B7AD24DB88D0B6B</vt:lpwstr>
  </property>
</Properties>
</file>