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 w:hAnsi="仿宋" w:eastAsia="仿宋" w:cs="仿宋"/>
          <w:b/>
          <w:color w:val="333333"/>
          <w:kern w:val="0"/>
          <w:sz w:val="36"/>
          <w:szCs w:val="36"/>
        </w:rPr>
      </w:pPr>
      <w:bookmarkStart w:id="0" w:name="_GoBack"/>
      <w:r>
        <w:rPr>
          <w:rFonts w:hint="eastAsia" w:ascii="仿宋" w:hAnsi="仿宋" w:eastAsia="仿宋" w:cs="仿宋"/>
          <w:b/>
          <w:color w:val="333333"/>
          <w:kern w:val="0"/>
          <w:sz w:val="36"/>
          <w:szCs w:val="36"/>
        </w:rPr>
        <w:t>单一来源采购征求意见公示表</w:t>
      </w:r>
      <w:bookmarkEnd w:id="0"/>
    </w:p>
    <w:tbl>
      <w:tblPr>
        <w:tblStyle w:val="7"/>
        <w:tblpPr w:leftFromText="180" w:rightFromText="180" w:vertAnchor="text" w:horzAnchor="page" w:tblpX="1024" w:tblpY="275"/>
        <w:tblOverlap w:val="never"/>
        <w:tblW w:w="555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31"/>
        <w:gridCol w:w="80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trPr>
        <w:tc>
          <w:tcPr>
            <w:tcW w:w="100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采购项目申请单位</w:t>
            </w:r>
          </w:p>
        </w:tc>
        <w:tc>
          <w:tcPr>
            <w:tcW w:w="3992"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462" w:firstLineChars="165"/>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九州职业技术学院医疗与健康学院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100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采购项目名称</w:t>
            </w:r>
          </w:p>
        </w:tc>
        <w:tc>
          <w:tcPr>
            <w:tcW w:w="3992"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color w:val="333333"/>
                <w:kern w:val="0"/>
                <w:sz w:val="28"/>
                <w:szCs w:val="28"/>
                <w:lang w:eastAsia="zh-CN"/>
              </w:rPr>
            </w:pPr>
            <w:r>
              <w:rPr>
                <w:rFonts w:hint="eastAsia" w:ascii="仿宋" w:hAnsi="仿宋" w:eastAsia="仿宋" w:cs="仿宋"/>
                <w:sz w:val="28"/>
                <w:szCs w:val="28"/>
              </w:rPr>
              <w:t>数字化解剖实训室</w:t>
            </w:r>
            <w:r>
              <w:rPr>
                <w:rFonts w:hint="eastAsia" w:ascii="仿宋" w:hAnsi="仿宋" w:eastAsia="仿宋" w:cs="仿宋"/>
                <w:sz w:val="28"/>
                <w:szCs w:val="28"/>
                <w:lang w:eastAsia="zh-CN"/>
              </w:rPr>
              <w:t>教学平台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7" w:hRule="atLeast"/>
        </w:trPr>
        <w:tc>
          <w:tcPr>
            <w:tcW w:w="1008"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采购预算</w:t>
            </w:r>
          </w:p>
        </w:tc>
        <w:tc>
          <w:tcPr>
            <w:tcW w:w="3992"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实训室立项费：47.08万元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7" w:hRule="atLeast"/>
        </w:trPr>
        <w:tc>
          <w:tcPr>
            <w:tcW w:w="1008"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ind w:left="174" w:leftChars="83" w:firstLine="568" w:firstLineChars="203"/>
              <w:textAlignment w:val="auto"/>
              <w:rPr>
                <w:rFonts w:hint="eastAsia" w:ascii="仿宋" w:hAnsi="仿宋" w:eastAsia="仿宋" w:cs="仿宋"/>
                <w:sz w:val="28"/>
                <w:szCs w:val="28"/>
              </w:rPr>
            </w:pPr>
          </w:p>
        </w:tc>
        <w:tc>
          <w:tcPr>
            <w:tcW w:w="3992" w:type="pct"/>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交互解剖示教平台：86寸：20万元</w:t>
            </w:r>
          </w:p>
          <w:p>
            <w:pPr>
              <w:keepNext w:val="0"/>
              <w:keepLines w:val="0"/>
              <w:pageBreakBefore w:val="0"/>
              <w:kinsoku/>
              <w:wordWrap/>
              <w:overflowPunct/>
              <w:topLinePunct w:val="0"/>
              <w:autoSpaceDE/>
              <w:autoSpaceDN/>
              <w:bidi w:val="0"/>
              <w:adjustRightInd/>
              <w:snapToGrid/>
              <w:spacing w:line="400" w:lineRule="exact"/>
              <w:ind w:firstLine="3110" w:firstLineChars="1111"/>
              <w:textAlignment w:val="auto"/>
              <w:rPr>
                <w:rFonts w:hint="eastAsia" w:ascii="仿宋" w:hAnsi="仿宋" w:eastAsia="仿宋" w:cs="仿宋"/>
                <w:sz w:val="28"/>
                <w:szCs w:val="28"/>
              </w:rPr>
            </w:pPr>
            <w:r>
              <w:rPr>
                <w:rFonts w:hint="eastAsia" w:ascii="仿宋" w:hAnsi="仿宋" w:eastAsia="仿宋" w:cs="仿宋"/>
                <w:sz w:val="28"/>
                <w:szCs w:val="28"/>
              </w:rPr>
              <w:t>55寸：22万元</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新生儿窒息急救智能模拟训练系统：2.28万元</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学生讨论桌8张和学生用椅60个：2.2万元</w:t>
            </w:r>
          </w:p>
          <w:p>
            <w:pPr>
              <w:keepNext w:val="0"/>
              <w:keepLines w:val="0"/>
              <w:pageBreakBefore w:val="0"/>
              <w:widowControl/>
              <w:kinsoku/>
              <w:wordWrap/>
              <w:overflowPunct/>
              <w:topLinePunct w:val="0"/>
              <w:autoSpaceDE/>
              <w:autoSpaceDN/>
              <w:bidi w:val="0"/>
              <w:adjustRightInd/>
              <w:snapToGrid/>
              <w:spacing w:line="400" w:lineRule="exact"/>
              <w:ind w:left="174" w:leftChars="83" w:firstLine="375" w:firstLineChars="134"/>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空调：0.6万元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0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项目内容</w:t>
            </w:r>
          </w:p>
        </w:tc>
        <w:tc>
          <w:tcPr>
            <w:tcW w:w="3992" w:type="pct"/>
            <w:vAlign w:val="center"/>
          </w:tcPr>
          <w:p>
            <w:pPr>
              <w:pStyle w:val="12"/>
              <w:keepNext w:val="0"/>
              <w:keepLines w:val="0"/>
              <w:pageBreakBefore w:val="0"/>
              <w:numPr>
                <w:ilvl w:val="0"/>
                <w:numId w:val="0"/>
              </w:numPr>
              <w:kinsoku/>
              <w:wordWrap/>
              <w:overflowPunct/>
              <w:topLinePunct w:val="0"/>
              <w:autoSpaceDE/>
              <w:autoSpaceDN/>
              <w:bidi w:val="0"/>
              <w:adjustRightInd/>
              <w:snapToGrid/>
              <w:spacing w:line="400" w:lineRule="exact"/>
              <w:ind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一、</w:t>
            </w:r>
            <w:r>
              <w:rPr>
                <w:rFonts w:hint="eastAsia" w:ascii="仿宋" w:hAnsi="仿宋" w:eastAsia="仿宋" w:cs="仿宋"/>
                <w:b/>
                <w:bCs/>
                <w:sz w:val="28"/>
                <w:szCs w:val="28"/>
              </w:rPr>
              <w:t>项目内容</w:t>
            </w:r>
          </w:p>
          <w:p>
            <w:pPr>
              <w:pStyle w:val="12"/>
              <w:keepNext w:val="0"/>
              <w:keepLines w:val="0"/>
              <w:pageBreakBefore w:val="0"/>
              <w:kinsoku/>
              <w:wordWrap/>
              <w:overflowPunct/>
              <w:topLinePunct w:val="0"/>
              <w:autoSpaceDE/>
              <w:autoSpaceDN/>
              <w:bidi w:val="0"/>
              <w:adjustRightInd/>
              <w:snapToGrid/>
              <w:spacing w:line="400" w:lineRule="exact"/>
              <w:ind w:firstLine="532" w:firstLineChars="190"/>
              <w:textAlignment w:val="auto"/>
              <w:rPr>
                <w:rFonts w:hint="eastAsia" w:ascii="仿宋" w:hAnsi="仿宋" w:eastAsia="仿宋" w:cs="仿宋"/>
                <w:sz w:val="28"/>
                <w:szCs w:val="28"/>
              </w:rPr>
            </w:pPr>
            <w:r>
              <w:rPr>
                <w:rFonts w:hint="eastAsia" w:ascii="仿宋" w:hAnsi="仿宋" w:eastAsia="仿宋" w:cs="仿宋"/>
                <w:sz w:val="28"/>
                <w:szCs w:val="28"/>
              </w:rPr>
              <w:t>交互解剖示教平台（86寸1台和55寸2台）、新生儿窒息急救智能模拟训练系统1个、空调1台、学生讨论桌8张和学生用椅60个及每年系统维护与更新服务。</w:t>
            </w:r>
          </w:p>
          <w:p>
            <w:pPr>
              <w:pStyle w:val="12"/>
              <w:keepNext w:val="0"/>
              <w:keepLines w:val="0"/>
              <w:pageBreakBefore w:val="0"/>
              <w:numPr>
                <w:ilvl w:val="0"/>
                <w:numId w:val="0"/>
              </w:numPr>
              <w:kinsoku/>
              <w:wordWrap/>
              <w:overflowPunct/>
              <w:topLinePunct w:val="0"/>
              <w:autoSpaceDE/>
              <w:autoSpaceDN/>
              <w:bidi w:val="0"/>
              <w:adjustRightInd/>
              <w:snapToGrid/>
              <w:spacing w:line="400" w:lineRule="exact"/>
              <w:ind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二、</w:t>
            </w:r>
            <w:r>
              <w:rPr>
                <w:rFonts w:hint="eastAsia" w:ascii="仿宋" w:hAnsi="仿宋" w:eastAsia="仿宋" w:cs="仿宋"/>
                <w:b/>
                <w:bCs/>
                <w:sz w:val="28"/>
                <w:szCs w:val="28"/>
              </w:rPr>
              <w:t>交互解剖示教平台系统规模</w:t>
            </w:r>
          </w:p>
          <w:p>
            <w:pPr>
              <w:pStyle w:val="12"/>
              <w:keepNext w:val="0"/>
              <w:keepLines w:val="0"/>
              <w:pageBreakBefore w:val="0"/>
              <w:numPr>
                <w:ilvl w:val="3"/>
                <w:numId w:val="1"/>
              </w:numPr>
              <w:kinsoku/>
              <w:wordWrap/>
              <w:overflowPunct/>
              <w:topLinePunct w:val="0"/>
              <w:autoSpaceDE/>
              <w:autoSpaceDN/>
              <w:bidi w:val="0"/>
              <w:adjustRightInd/>
              <w:snapToGrid/>
              <w:spacing w:line="400" w:lineRule="exact"/>
              <w:ind w:left="497" w:firstLine="0" w:firstLineChars="0"/>
              <w:textAlignment w:val="auto"/>
              <w:rPr>
                <w:rFonts w:hint="eastAsia" w:ascii="仿宋" w:hAnsi="仿宋" w:eastAsia="仿宋" w:cs="仿宋"/>
                <w:b/>
                <w:sz w:val="28"/>
                <w:szCs w:val="28"/>
              </w:rPr>
            </w:pPr>
            <w:r>
              <w:rPr>
                <w:rFonts w:hint="eastAsia" w:ascii="仿宋" w:hAnsi="仿宋" w:eastAsia="仿宋" w:cs="仿宋"/>
                <w:b/>
                <w:sz w:val="28"/>
                <w:szCs w:val="28"/>
              </w:rPr>
              <w:t>标本的数字资料完整，为教学及实验提供完整的资源。</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虚拟解剖软件中的人体数据模型，是从两具一男一女完整的人体标本切片的三维重建中得到的。软件中包括CT/MRI影像数量不少于1700张。冠状面、矢状面、水平面断层图片上的人体结构都做了划分。而且全部经过解剖学专家审核，是完整、精准的解剖学数字图像库。在教学中完整地断层图片以及完整的人体结构对学生建立人体整体形态及内部结构的认知提供了可能。</w:t>
            </w:r>
          </w:p>
          <w:p>
            <w:pPr>
              <w:pStyle w:val="12"/>
              <w:keepNext w:val="0"/>
              <w:keepLines w:val="0"/>
              <w:pageBreakBefore w:val="0"/>
              <w:numPr>
                <w:ilvl w:val="3"/>
                <w:numId w:val="1"/>
              </w:numPr>
              <w:kinsoku/>
              <w:wordWrap/>
              <w:overflowPunct/>
              <w:topLinePunct w:val="0"/>
              <w:autoSpaceDE/>
              <w:autoSpaceDN/>
              <w:bidi w:val="0"/>
              <w:adjustRightInd/>
              <w:snapToGrid/>
              <w:spacing w:line="400" w:lineRule="exact"/>
              <w:ind w:left="0" w:firstLine="579" w:firstLineChars="206"/>
              <w:textAlignment w:val="auto"/>
              <w:rPr>
                <w:rFonts w:hint="eastAsia" w:ascii="仿宋" w:hAnsi="仿宋" w:eastAsia="仿宋" w:cs="仿宋"/>
                <w:b/>
                <w:sz w:val="28"/>
                <w:szCs w:val="28"/>
              </w:rPr>
            </w:pPr>
            <w:r>
              <w:rPr>
                <w:rFonts w:hint="eastAsia" w:ascii="仿宋" w:hAnsi="仿宋" w:eastAsia="仿宋" w:cs="仿宋"/>
                <w:b/>
                <w:sz w:val="28"/>
                <w:szCs w:val="28"/>
              </w:rPr>
              <w:t>直观的为学生创建人体器官的空间结构，将教学中某些难于讲述的复杂的内容，生动地展现在学生面前，帮助学生在头脑中构建复杂的人体结构。</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rPr>
              <w:t>人体解剖学是一门研究正常人体形态和构造的科学，隶属于生物科学的形态学范畴。在医学领域，它是一门重要的基础课程，其任务是揭示人体各系统器官的形态和结构特征，各器官、结构间的毗邻和联属，为进一步学习后续的医学基础课程和临床医学课程奠定基础。中世纪期间产生的解剖图谱是医学学习的基础，但解剖图谱是对人体器官三维结构的二维表达，容易使学习者对解剖结构的学习和理解受到制约。同时，解剖图谱一般有许多个标注，细线的一端指向解剖结构，另一端注有该结构的名称，看上去非常复杂。虚拟解剖软件则为获取、储存、利用和显示复杂图像提供了方便。无需复杂的标注，只要将计算机鼠标移到某一解剖结构上，通过超链接则该结构的详细说明便会显示出来。并且可以显示某一部位的断层图像，还可将该结构立体显示，并可旋转。融科学性和趣味性于一体，既生动又形象，学生可直观地、立体地和动态地学习。有利于对所学内容的理解和记忆。它全方位、多视角、多层次、对人体结构进行的立体演示，将教学中某些难于讲述的复杂的宏观与微观的内容，生动地展现在学生的面前，使教学内容化虚为实，化难为易，化抽象为具体，化枯燥为趣味，与传统教学方法相比，显示出强大的优势。</w:t>
            </w:r>
          </w:p>
          <w:p>
            <w:pPr>
              <w:pStyle w:val="12"/>
              <w:keepNext w:val="0"/>
              <w:keepLines w:val="0"/>
              <w:pageBreakBefore w:val="0"/>
              <w:numPr>
                <w:ilvl w:val="3"/>
                <w:numId w:val="1"/>
              </w:numPr>
              <w:kinsoku/>
              <w:wordWrap/>
              <w:overflowPunct/>
              <w:topLinePunct w:val="0"/>
              <w:autoSpaceDE/>
              <w:autoSpaceDN/>
              <w:bidi w:val="0"/>
              <w:adjustRightInd/>
              <w:snapToGrid/>
              <w:spacing w:line="400" w:lineRule="exact"/>
              <w:ind w:left="0" w:firstLine="497" w:firstLineChars="0"/>
              <w:textAlignment w:val="auto"/>
              <w:rPr>
                <w:rFonts w:hint="eastAsia" w:ascii="仿宋" w:hAnsi="仿宋" w:eastAsia="仿宋" w:cs="仿宋"/>
                <w:b/>
                <w:sz w:val="28"/>
                <w:szCs w:val="28"/>
              </w:rPr>
            </w:pPr>
            <w:r>
              <w:rPr>
                <w:rFonts w:hint="eastAsia" w:ascii="仿宋" w:hAnsi="仿宋" w:eastAsia="仿宋" w:cs="仿宋"/>
                <w:b/>
                <w:sz w:val="28"/>
                <w:szCs w:val="28"/>
              </w:rPr>
              <w:t>整合了大体、断层、局部、系统解剖学课程，消除了现实中不同解剖学教学方法之间的障碍。</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作为解剖学的教学平台，软件将临床解剖学、护理解剖学、大体解剖学、断层解剖学、局部解剖学、系统解剖学、表面解剖学等学科，通过虚拟人有机结合起来。老师可以根据自己教学的需要将临床上的资料、手术视频、标本解剖图片、病理、生理学科等资源结合虚拟人进行编排。将原本独立的学科整合成多学科相互关联，交叉的全新课程。加深学生理解，消除不同学科之间的障碍。更好的帮助学生理解和记忆。</w:t>
            </w:r>
          </w:p>
          <w:p>
            <w:pPr>
              <w:pStyle w:val="12"/>
              <w:keepNext w:val="0"/>
              <w:keepLines w:val="0"/>
              <w:pageBreakBefore w:val="0"/>
              <w:kinsoku/>
              <w:wordWrap/>
              <w:overflowPunct/>
              <w:topLinePunct w:val="0"/>
              <w:autoSpaceDE/>
              <w:autoSpaceDN/>
              <w:bidi w:val="0"/>
              <w:adjustRightInd/>
              <w:snapToGrid/>
              <w:spacing w:line="400" w:lineRule="exact"/>
              <w:ind w:left="480" w:firstLine="0" w:firstLineChars="0"/>
              <w:textAlignment w:val="auto"/>
              <w:rPr>
                <w:rFonts w:hint="eastAsia" w:ascii="仿宋" w:hAnsi="仿宋" w:eastAsia="仿宋" w:cs="仿宋"/>
                <w:b/>
                <w:bCs/>
                <w:sz w:val="28"/>
                <w:szCs w:val="28"/>
              </w:rPr>
            </w:pPr>
            <w:r>
              <w:rPr>
                <w:rFonts w:hint="eastAsia" w:ascii="仿宋" w:hAnsi="仿宋" w:eastAsia="仿宋" w:cs="仿宋"/>
                <w:b/>
                <w:sz w:val="28"/>
                <w:szCs w:val="28"/>
              </w:rPr>
              <w:t>4.可根据教学需要整合、扩充资源。</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
                <w:bCs/>
                <w:sz w:val="28"/>
                <w:szCs w:val="28"/>
              </w:rPr>
            </w:pPr>
            <w:r>
              <w:rPr>
                <w:rFonts w:hint="eastAsia" w:ascii="仿宋" w:hAnsi="仿宋" w:eastAsia="仿宋" w:cs="仿宋"/>
                <w:sz w:val="28"/>
                <w:szCs w:val="28"/>
              </w:rPr>
              <w:t>该软件在可视化人体图像的基础上，同时还支持多种格式的图像、动画的导入。教师可根据教学大纲和教材内容，利用软件中的资源编排教学教案。并可添加导入自定义的图像和多媒体插件。软件中的图片也能够导出存储，用于其他形式的多媒体课件中。这样学校的教学资源就得到了整合与扩充。软件中的解剖学名称均采用中英文对照，教师利用该软件可以进行解剖学的双语教学，帮助学生提高语言技能，为今后工作学习打下一个良好的基础。软件采用发达国家的教学模式，将国内各门相对独立的解剖学课程结合起来进行讲授。相互关联，融会贯通。不仅增加了课程的信息量，而且改变了理解问题的角度和方式。消除了各学科之间的障碍。解决了传统教学中的诸多问题。为学生今后的发展铺平了道路。</w:t>
            </w:r>
          </w:p>
          <w:p>
            <w:pPr>
              <w:pStyle w:val="12"/>
              <w:keepNext w:val="0"/>
              <w:keepLines w:val="0"/>
              <w:pageBreakBefore w:val="0"/>
              <w:numPr>
                <w:ilvl w:val="0"/>
                <w:numId w:val="0"/>
              </w:numPr>
              <w:kinsoku/>
              <w:wordWrap/>
              <w:overflowPunct/>
              <w:topLinePunct w:val="0"/>
              <w:autoSpaceDE/>
              <w:autoSpaceDN/>
              <w:bidi w:val="0"/>
              <w:adjustRightInd/>
              <w:snapToGrid/>
              <w:spacing w:line="400" w:lineRule="exact"/>
              <w:ind w:leftChars="0"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预期效果</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rPr>
              <w:t>1</w:t>
            </w:r>
            <w:r>
              <w:rPr>
                <w:rFonts w:hint="eastAsia" w:ascii="仿宋" w:hAnsi="仿宋" w:eastAsia="仿宋" w:cs="仿宋"/>
                <w:b/>
                <w:sz w:val="28"/>
                <w:szCs w:val="28"/>
                <w:lang w:eastAsia="zh-CN"/>
              </w:rPr>
              <w:t>.</w:t>
            </w:r>
            <w:r>
              <w:rPr>
                <w:rFonts w:hint="eastAsia" w:ascii="仿宋" w:hAnsi="仿宋" w:eastAsia="仿宋" w:cs="仿宋"/>
                <w:b/>
                <w:sz w:val="28"/>
                <w:szCs w:val="28"/>
              </w:rPr>
              <w:t>服务的专业及人数</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康复治疗技术专业和护理专业，以及计划未来要开设的助产专业，该系统自2020年9月份开始使用，目前已使用两年，每年需要使用数字化解剖实训室的人数超过1000人。</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
                <w:bCs/>
                <w:sz w:val="28"/>
                <w:szCs w:val="28"/>
              </w:rPr>
            </w:pPr>
            <w:r>
              <w:rPr>
                <w:rFonts w:hint="eastAsia" w:ascii="仿宋" w:hAnsi="仿宋" w:eastAsia="仿宋" w:cs="仿宋"/>
                <w:b/>
                <w:bCs/>
                <w:sz w:val="28"/>
                <w:szCs w:val="28"/>
              </w:rPr>
              <w:t>2</w:t>
            </w:r>
            <w:r>
              <w:rPr>
                <w:rFonts w:hint="eastAsia" w:ascii="仿宋" w:hAnsi="仿宋" w:eastAsia="仿宋" w:cs="仿宋"/>
                <w:b/>
                <w:bCs/>
                <w:sz w:val="28"/>
                <w:szCs w:val="28"/>
                <w:lang w:eastAsia="zh-CN"/>
              </w:rPr>
              <w:t>.</w:t>
            </w:r>
            <w:r>
              <w:rPr>
                <w:rFonts w:hint="eastAsia" w:ascii="仿宋" w:hAnsi="仿宋" w:eastAsia="仿宋" w:cs="仿宋"/>
                <w:b/>
                <w:bCs/>
                <w:sz w:val="28"/>
                <w:szCs w:val="28"/>
              </w:rPr>
              <w:t>培养学生的核心能力项目</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学生通过系统操作，可更加直观地、立体地和动态地进行学习。它全方位、多视角、多层次、对人体结构进行立体演示，将教学中某些难于讲述的、复杂的、宏观与微观的内容，生动地展现在学生面前，使教学内容化虚为实，化难为易，化抽象为具体，化枯燥为趣味。有利于学生对所学内容的理解和记忆。</w:t>
            </w:r>
          </w:p>
          <w:p>
            <w:pPr>
              <w:keepNext w:val="0"/>
              <w:keepLines w:val="0"/>
              <w:pageBreakBefore w:val="0"/>
              <w:kinsoku/>
              <w:wordWrap/>
              <w:overflowPunct/>
              <w:topLinePunct w:val="0"/>
              <w:autoSpaceDE/>
              <w:autoSpaceDN/>
              <w:bidi w:val="0"/>
              <w:adjustRightInd/>
              <w:snapToGrid/>
              <w:spacing w:line="400" w:lineRule="exact"/>
              <w:ind w:firstLine="562" w:firstLineChars="200"/>
              <w:textAlignment w:val="auto"/>
              <w:rPr>
                <w:rFonts w:hint="eastAsia" w:ascii="仿宋" w:hAnsi="仿宋" w:eastAsia="仿宋" w:cs="仿宋"/>
                <w:bCs/>
                <w:sz w:val="28"/>
                <w:szCs w:val="28"/>
              </w:rPr>
            </w:pPr>
            <w:r>
              <w:rPr>
                <w:rFonts w:hint="eastAsia" w:ascii="仿宋" w:hAnsi="仿宋" w:eastAsia="仿宋" w:cs="仿宋"/>
                <w:b/>
                <w:sz w:val="28"/>
                <w:szCs w:val="28"/>
              </w:rPr>
              <w:t>3</w:t>
            </w:r>
            <w:r>
              <w:rPr>
                <w:rFonts w:hint="eastAsia" w:ascii="仿宋" w:hAnsi="仿宋" w:eastAsia="仿宋" w:cs="仿宋"/>
                <w:b/>
                <w:sz w:val="28"/>
                <w:szCs w:val="28"/>
                <w:lang w:eastAsia="zh-CN"/>
              </w:rPr>
              <w:t>.</w:t>
            </w:r>
            <w:r>
              <w:rPr>
                <w:rFonts w:hint="eastAsia" w:ascii="仿宋" w:hAnsi="仿宋" w:eastAsia="仿宋" w:cs="仿宋"/>
                <w:b/>
                <w:sz w:val="28"/>
                <w:szCs w:val="28"/>
              </w:rPr>
              <w:t>实验实训教学项目及所属课程</w:t>
            </w:r>
            <w:r>
              <w:rPr>
                <w:rFonts w:hint="eastAsia" w:ascii="仿宋" w:hAnsi="仿宋" w:eastAsia="仿宋" w:cs="仿宋"/>
                <w:bCs/>
                <w:sz w:val="28"/>
                <w:szCs w:val="28"/>
              </w:rPr>
              <w:t>：</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rPr>
            </w:pPr>
            <w:r>
              <w:rPr>
                <w:rFonts w:hint="eastAsia" w:ascii="仿宋" w:hAnsi="仿宋" w:eastAsia="仿宋" w:cs="仿宋"/>
                <w:bCs/>
                <w:sz w:val="28"/>
                <w:szCs w:val="28"/>
              </w:rPr>
              <w:t xml:space="preserve">    肌肉解剖实训课     ——系统解剖学、人体形态与结构</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 w:hAnsi="仿宋" w:eastAsia="仿宋" w:cs="仿宋"/>
                <w:bCs/>
                <w:sz w:val="28"/>
                <w:szCs w:val="28"/>
              </w:rPr>
            </w:pPr>
            <w:r>
              <w:rPr>
                <w:rFonts w:hint="eastAsia" w:ascii="仿宋" w:hAnsi="仿宋" w:eastAsia="仿宋" w:cs="仿宋"/>
                <w:bCs/>
                <w:sz w:val="28"/>
                <w:szCs w:val="28"/>
              </w:rPr>
              <w:t xml:space="preserve">    消化系统解剖实训课 ——系统解剖学、人体形态与结构</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骨骼解剖实训课     ——系统解剖学、人体形态与结构</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bCs/>
                <w:sz w:val="28"/>
                <w:szCs w:val="28"/>
              </w:rPr>
            </w:pPr>
            <w:r>
              <w:rPr>
                <w:rFonts w:hint="eastAsia" w:ascii="仿宋" w:hAnsi="仿宋" w:eastAsia="仿宋" w:cs="仿宋"/>
                <w:bCs/>
                <w:sz w:val="28"/>
                <w:szCs w:val="28"/>
              </w:rPr>
              <w:t>呼吸系统解剖实训课 ——系统解剖学、人体形态与结构</w:t>
            </w:r>
          </w:p>
          <w:p>
            <w:pPr>
              <w:keepNext w:val="0"/>
              <w:keepLines w:val="0"/>
              <w:pageBreakBefore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333333"/>
                <w:kern w:val="0"/>
                <w:sz w:val="28"/>
                <w:szCs w:val="28"/>
              </w:rPr>
            </w:pPr>
            <w:r>
              <w:rPr>
                <w:rFonts w:hint="eastAsia" w:ascii="仿宋" w:hAnsi="仿宋" w:eastAsia="仿宋" w:cs="仿宋"/>
                <w:bCs/>
                <w:sz w:val="28"/>
                <w:szCs w:val="28"/>
              </w:rPr>
              <w:t>循环系统解剖实训课 ——系统解剖学、人体形态与结构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1" w:hRule="atLeast"/>
        </w:trPr>
        <w:tc>
          <w:tcPr>
            <w:tcW w:w="100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拟定供应商</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全称</w:t>
            </w:r>
          </w:p>
        </w:tc>
        <w:tc>
          <w:tcPr>
            <w:tcW w:w="3992" w:type="pct"/>
            <w:vAlign w:val="center"/>
          </w:tcPr>
          <w:p>
            <w:pPr>
              <w:keepNext w:val="0"/>
              <w:keepLines w:val="0"/>
              <w:pageBreakBefore w:val="0"/>
              <w:widowControl/>
              <w:kinsoku/>
              <w:wordWrap/>
              <w:overflowPunct/>
              <w:topLinePunct w:val="0"/>
              <w:autoSpaceDE/>
              <w:autoSpaceDN/>
              <w:bidi w:val="0"/>
              <w:adjustRightInd/>
              <w:snapToGrid/>
              <w:spacing w:line="400" w:lineRule="exact"/>
              <w:ind w:firstLine="532" w:firstLineChars="190"/>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上海康提医疗科技有限公司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0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单一来源采购理由</w:t>
            </w:r>
          </w:p>
        </w:tc>
        <w:tc>
          <w:tcPr>
            <w:tcW w:w="3992" w:type="pct"/>
            <w:vAlign w:val="center"/>
          </w:tcPr>
          <w:p>
            <w:pPr>
              <w:keepNext w:val="0"/>
              <w:keepLines w:val="0"/>
              <w:pageBreakBefore w:val="0"/>
              <w:kinsoku/>
              <w:wordWrap/>
              <w:overflowPunct/>
              <w:topLinePunct w:val="0"/>
              <w:autoSpaceDE/>
              <w:autoSpaceDN/>
              <w:bidi w:val="0"/>
              <w:adjustRightInd/>
              <w:snapToGrid/>
              <w:spacing w:line="400" w:lineRule="exact"/>
              <w:ind w:firstLine="560" w:firstLineChars="200"/>
              <w:jc w:val="left"/>
              <w:textAlignment w:val="auto"/>
              <w:rPr>
                <w:rFonts w:hint="eastAsia" w:ascii="仿宋" w:hAnsi="仿宋" w:eastAsia="仿宋" w:cs="仿宋"/>
                <w:b/>
                <w:bCs/>
                <w:sz w:val="28"/>
                <w:szCs w:val="28"/>
              </w:rPr>
            </w:pPr>
            <w:r>
              <w:rPr>
                <w:rFonts w:hint="eastAsia" w:ascii="仿宋" w:hAnsi="仿宋" w:eastAsia="仿宋" w:cs="仿宋"/>
                <w:sz w:val="28"/>
                <w:szCs w:val="28"/>
              </w:rPr>
              <w:t>因解剖实训室教师端和学生端均内置统一的数字化解剖示教系统，该系统一期数字化解剖实训室自2020年9月至今已使用两年，想要移机到新实训室，实现每个实训室“一拖四”的配置，需要两个实训室内置的示教系统一致，才能满足教学统一，否则该计划难以实施。</w:t>
            </w:r>
          </w:p>
          <w:p>
            <w:pPr>
              <w:keepNext w:val="0"/>
              <w:keepLines w:val="0"/>
              <w:pageBreakBefore w:val="0"/>
              <w:kinsoku/>
              <w:wordWrap/>
              <w:overflowPunct/>
              <w:topLinePunct w:val="0"/>
              <w:autoSpaceDE/>
              <w:autoSpaceDN/>
              <w:bidi w:val="0"/>
              <w:adjustRightInd/>
              <w:snapToGrid/>
              <w:spacing w:line="400" w:lineRule="exact"/>
              <w:ind w:firstLine="565" w:firstLineChars="202"/>
              <w:textAlignment w:val="auto"/>
              <w:rPr>
                <w:rFonts w:hint="eastAsia" w:ascii="仿宋" w:hAnsi="仿宋" w:eastAsia="仿宋" w:cs="仿宋"/>
                <w:b/>
                <w:color w:val="333333"/>
                <w:kern w:val="0"/>
                <w:sz w:val="28"/>
                <w:szCs w:val="28"/>
              </w:rPr>
            </w:pPr>
            <w:r>
              <w:rPr>
                <w:rFonts w:hint="eastAsia" w:ascii="仿宋" w:hAnsi="仿宋" w:eastAsia="仿宋" w:cs="仿宋"/>
                <w:sz w:val="28"/>
                <w:szCs w:val="28"/>
              </w:rPr>
              <w:t>综上所述，数字化解剖实训室内置的数字化示教系统只能来自同一公司即“上海康提医疗科技有限公司”才能保证系统的统一性，而一期实训室配备的学生讨论桌椅等为该公司定制款，为保证二期实训室的一致性，故建议采用续标方式进行单一来源方式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1008"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仿宋" w:hAnsi="仿宋" w:eastAsia="仿宋" w:cs="仿宋"/>
                <w:b/>
                <w:color w:val="333333"/>
                <w:kern w:val="0"/>
                <w:sz w:val="28"/>
                <w:szCs w:val="28"/>
              </w:rPr>
            </w:pPr>
            <w:r>
              <w:rPr>
                <w:rFonts w:hint="eastAsia" w:ascii="仿宋" w:hAnsi="仿宋" w:eastAsia="仿宋" w:cs="仿宋"/>
                <w:b/>
                <w:color w:val="333333"/>
                <w:kern w:val="0"/>
                <w:sz w:val="28"/>
                <w:szCs w:val="28"/>
              </w:rPr>
              <w:t>备 注</w:t>
            </w:r>
          </w:p>
        </w:tc>
        <w:tc>
          <w:tcPr>
            <w:tcW w:w="3992" w:type="pct"/>
            <w:vAlign w:val="center"/>
          </w:tcPr>
          <w:p>
            <w:pPr>
              <w:keepNext w:val="0"/>
              <w:keepLines w:val="0"/>
              <w:pageBreakBefore w:val="0"/>
              <w:widowControl/>
              <w:kinsoku/>
              <w:wordWrap/>
              <w:overflowPunct/>
              <w:topLinePunct w:val="0"/>
              <w:autoSpaceDE/>
              <w:autoSpaceDN/>
              <w:bidi w:val="0"/>
              <w:adjustRightInd/>
              <w:snapToGrid/>
              <w:spacing w:line="400" w:lineRule="exact"/>
              <w:ind w:left="174" w:leftChars="83" w:firstLine="571" w:firstLineChars="203"/>
              <w:textAlignment w:val="auto"/>
              <w:rPr>
                <w:rFonts w:hint="eastAsia" w:ascii="仿宋" w:hAnsi="仿宋" w:eastAsia="仿宋" w:cs="仿宋"/>
                <w:b/>
                <w:color w:val="333333"/>
                <w:kern w:val="0"/>
                <w:sz w:val="28"/>
                <w:szCs w:val="28"/>
              </w:rPr>
            </w:pPr>
          </w:p>
        </w:tc>
      </w:tr>
    </w:tbl>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 w:hAnsi="仿宋" w:eastAsia="仿宋" w:cs="仿宋"/>
          <w:sz w:val="28"/>
          <w:szCs w:val="28"/>
        </w:rPr>
      </w:pPr>
    </w:p>
    <w:sectPr>
      <w:pgSz w:w="11906" w:h="16838"/>
      <w:pgMar w:top="1276" w:right="1531" w:bottom="85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490B64"/>
    <w:multiLevelType w:val="multilevel"/>
    <w:tmpl w:val="59490B64"/>
    <w:lvl w:ilvl="0" w:tentative="0">
      <w:start w:val="1"/>
      <w:numFmt w:val="japaneseCounting"/>
      <w:lvlText w:val="%1、"/>
      <w:lvlJc w:val="left"/>
      <w:pPr>
        <w:ind w:left="480" w:hanging="480"/>
      </w:pPr>
      <w:rPr>
        <w:rFonts w:hint="default"/>
      </w:rPr>
    </w:lvl>
    <w:lvl w:ilvl="1" w:tentative="0">
      <w:start w:val="1"/>
      <w:numFmt w:val="lowerLetter"/>
      <w:lvlText w:val="%2)"/>
      <w:lvlJc w:val="left"/>
      <w:pPr>
        <w:ind w:left="960" w:hanging="420"/>
      </w:pPr>
    </w:lvl>
    <w:lvl w:ilvl="2" w:tentative="0">
      <w:start w:val="1"/>
      <w:numFmt w:val="lowerRoman"/>
      <w:lvlText w:val="%3."/>
      <w:lvlJc w:val="right"/>
      <w:pPr>
        <w:ind w:left="1380" w:hanging="420"/>
      </w:pPr>
    </w:lvl>
    <w:lvl w:ilvl="3" w:tentative="0">
      <w:start w:val="1"/>
      <w:numFmt w:val="decimal"/>
      <w:lvlText w:val="%4."/>
      <w:lvlJc w:val="left"/>
      <w:pPr>
        <w:ind w:left="1800" w:hanging="420"/>
      </w:pPr>
    </w:lvl>
    <w:lvl w:ilvl="4" w:tentative="0">
      <w:start w:val="1"/>
      <w:numFmt w:val="lowerLetter"/>
      <w:lvlText w:val="%5)"/>
      <w:lvlJc w:val="left"/>
      <w:pPr>
        <w:ind w:left="2220" w:hanging="420"/>
      </w:pPr>
    </w:lvl>
    <w:lvl w:ilvl="5" w:tentative="0">
      <w:start w:val="1"/>
      <w:numFmt w:val="lowerRoman"/>
      <w:lvlText w:val="%6."/>
      <w:lvlJc w:val="right"/>
      <w:pPr>
        <w:ind w:left="2640" w:hanging="420"/>
      </w:pPr>
    </w:lvl>
    <w:lvl w:ilvl="6" w:tentative="0">
      <w:start w:val="1"/>
      <w:numFmt w:val="decimal"/>
      <w:lvlText w:val="%7."/>
      <w:lvlJc w:val="left"/>
      <w:pPr>
        <w:ind w:left="3060" w:hanging="420"/>
      </w:pPr>
    </w:lvl>
    <w:lvl w:ilvl="7" w:tentative="0">
      <w:start w:val="1"/>
      <w:numFmt w:val="lowerLetter"/>
      <w:lvlText w:val="%8)"/>
      <w:lvlJc w:val="left"/>
      <w:pPr>
        <w:ind w:left="3480" w:hanging="420"/>
      </w:pPr>
    </w:lvl>
    <w:lvl w:ilvl="8" w:tentative="0">
      <w:start w:val="1"/>
      <w:numFmt w:val="lowerRoman"/>
      <w:lvlText w:val="%9."/>
      <w:lvlJc w:val="right"/>
      <w:pPr>
        <w:ind w:left="39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3ZWQyYWU5MTAyYTUyZTUzN2I0N2MzMjNhMjk5NmEifQ=="/>
  </w:docVars>
  <w:rsids>
    <w:rsidRoot w:val="00C34904"/>
    <w:rsid w:val="000152AB"/>
    <w:rsid w:val="00060D2B"/>
    <w:rsid w:val="000715F5"/>
    <w:rsid w:val="000764B8"/>
    <w:rsid w:val="00091B3C"/>
    <w:rsid w:val="000D4C3C"/>
    <w:rsid w:val="001D3EEE"/>
    <w:rsid w:val="002019C5"/>
    <w:rsid w:val="0021555B"/>
    <w:rsid w:val="00284328"/>
    <w:rsid w:val="00361B9C"/>
    <w:rsid w:val="0036529F"/>
    <w:rsid w:val="00392EC0"/>
    <w:rsid w:val="003D722A"/>
    <w:rsid w:val="00453BC7"/>
    <w:rsid w:val="004B10C7"/>
    <w:rsid w:val="006C4B2F"/>
    <w:rsid w:val="006D6AD6"/>
    <w:rsid w:val="007561BA"/>
    <w:rsid w:val="00776C86"/>
    <w:rsid w:val="00843F9B"/>
    <w:rsid w:val="009426E5"/>
    <w:rsid w:val="009A1263"/>
    <w:rsid w:val="00A746AD"/>
    <w:rsid w:val="00AA2FB6"/>
    <w:rsid w:val="00B23CFA"/>
    <w:rsid w:val="00B276CA"/>
    <w:rsid w:val="00BC4348"/>
    <w:rsid w:val="00C34904"/>
    <w:rsid w:val="00CC7D4D"/>
    <w:rsid w:val="00DC2F56"/>
    <w:rsid w:val="00DD4DD1"/>
    <w:rsid w:val="00F1632C"/>
    <w:rsid w:val="00F67F02"/>
    <w:rsid w:val="0BC46D8D"/>
    <w:rsid w:val="116B1C6D"/>
    <w:rsid w:val="226167F5"/>
    <w:rsid w:val="26421268"/>
    <w:rsid w:val="2C642246"/>
    <w:rsid w:val="32E61FE1"/>
    <w:rsid w:val="37F05FE3"/>
    <w:rsid w:val="48D0149B"/>
    <w:rsid w:val="4B475ABD"/>
    <w:rsid w:val="4CBD5B42"/>
    <w:rsid w:val="4D450DF0"/>
    <w:rsid w:val="4E78342F"/>
    <w:rsid w:val="5A022876"/>
    <w:rsid w:val="66430FC5"/>
    <w:rsid w:val="71247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keepNext/>
      <w:keepLines/>
      <w:spacing w:before="340" w:after="330" w:line="576" w:lineRule="auto"/>
      <w:outlineLvl w:val="0"/>
    </w:pPr>
    <w:rPr>
      <w:b/>
      <w:kern w:val="44"/>
      <w:sz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before="100" w:beforeAutospacing="1" w:line="273" w:lineRule="auto"/>
      <w:ind w:firstLine="420" w:firstLineChars="200"/>
      <w:jc w:val="left"/>
    </w:pPr>
    <w:rPr>
      <w:rFonts w:cs="Calibri"/>
      <w:kern w:val="0"/>
      <w:sz w:val="22"/>
    </w:rPr>
  </w:style>
  <w:style w:type="paragraph" w:styleId="3">
    <w:name w:val="Body Text Indent"/>
    <w:basedOn w:val="1"/>
    <w:qFormat/>
    <w:uiPriority w:val="0"/>
    <w:pPr>
      <w:ind w:firstLine="6720" w:firstLineChars="1400"/>
    </w:pPr>
    <w:rPr>
      <w:sz w:val="4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页眉 字符"/>
    <w:link w:val="6"/>
    <w:qFormat/>
    <w:uiPriority w:val="99"/>
    <w:rPr>
      <w:kern w:val="2"/>
      <w:sz w:val="18"/>
      <w:szCs w:val="18"/>
    </w:rPr>
  </w:style>
  <w:style w:type="character" w:customStyle="1" w:styleId="11">
    <w:name w:val="页脚 字符"/>
    <w:link w:val="5"/>
    <w:qFormat/>
    <w:uiPriority w:val="99"/>
    <w:rPr>
      <w:kern w:val="2"/>
      <w:sz w:val="18"/>
      <w:szCs w:val="18"/>
    </w:rPr>
  </w:style>
  <w:style w:type="paragraph" w:styleId="12">
    <w:name w:val="List Paragraph"/>
    <w:basedOn w:val="1"/>
    <w:qFormat/>
    <w:uiPriority w:val="34"/>
    <w:pPr>
      <w:ind w:firstLine="420" w:firstLineChars="200"/>
    </w:pPr>
  </w:style>
  <w:style w:type="character" w:customStyle="1" w:styleId="13">
    <w:name w:val="apple-converted-space"/>
    <w:basedOn w:val="9"/>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CUMT</Company>
  <Pages>4</Pages>
  <Words>2453</Words>
  <Characters>2525</Characters>
  <Lines>18</Lines>
  <Paragraphs>5</Paragraphs>
  <TotalTime>39</TotalTime>
  <ScaleCrop>false</ScaleCrop>
  <LinksUpToDate>false</LinksUpToDate>
  <CharactersWithSpaces>2586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2019-10-10T23:08:00Z</dcterms:created>
  <dc:creator>Tan lijuan</dc:creator>
  <cp:lastModifiedBy>晓伟</cp:lastModifiedBy>
  <cp:lastPrinted>2021-12-10T02:41:00Z</cp:lastPrinted>
  <dcterms:modified xsi:type="dcterms:W3CDTF">2022-06-13T06:48:45Z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CA7FD325D44F4DD7A8F0C74A3DE845BD</vt:lpwstr>
  </property>
</Properties>
</file>